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632" w:rsidRDefault="00727632" w:rsidP="00A80BA9">
      <w:pPr>
        <w:pStyle w:val="NoSpacing"/>
        <w:rPr>
          <w:rFonts w:ascii="Times New Roman" w:hAnsi="Times New Roman"/>
          <w:b/>
          <w:bCs/>
          <w:u w:val="single"/>
        </w:rPr>
      </w:pPr>
    </w:p>
    <w:p w:rsidR="00191B4A" w:rsidRPr="00CF58D3" w:rsidRDefault="00191B4A" w:rsidP="00191B4A">
      <w:pPr>
        <w:pStyle w:val="NoSpacing"/>
        <w:jc w:val="center"/>
        <w:rPr>
          <w:rFonts w:ascii="Times New Roman" w:hAnsi="Times New Roman"/>
          <w:b/>
          <w:bCs/>
          <w:sz w:val="28"/>
          <w:szCs w:val="28"/>
          <w:u w:val="single"/>
        </w:rPr>
      </w:pPr>
      <w:r w:rsidRPr="00CF58D3">
        <w:rPr>
          <w:rFonts w:ascii="Times New Roman" w:hAnsi="Times New Roman"/>
          <w:b/>
          <w:bCs/>
          <w:sz w:val="28"/>
          <w:szCs w:val="28"/>
          <w:u w:val="single"/>
        </w:rPr>
        <w:t>BASEL</w:t>
      </w:r>
      <w:r w:rsidR="00B935E0" w:rsidRPr="00CF58D3">
        <w:rPr>
          <w:rFonts w:ascii="Times New Roman" w:hAnsi="Times New Roman"/>
          <w:b/>
          <w:bCs/>
          <w:sz w:val="28"/>
          <w:szCs w:val="28"/>
          <w:u w:val="single"/>
        </w:rPr>
        <w:t>- I</w:t>
      </w:r>
      <w:r w:rsidR="007B50FF" w:rsidRPr="00CF58D3">
        <w:rPr>
          <w:rFonts w:ascii="Times New Roman" w:hAnsi="Times New Roman"/>
          <w:b/>
          <w:bCs/>
          <w:sz w:val="28"/>
          <w:szCs w:val="28"/>
          <w:u w:val="single"/>
        </w:rPr>
        <w:t>II DISCLOSURES – QUARTER</w:t>
      </w:r>
      <w:r w:rsidRPr="00CF58D3">
        <w:rPr>
          <w:rFonts w:ascii="Times New Roman" w:hAnsi="Times New Roman"/>
          <w:b/>
          <w:bCs/>
          <w:sz w:val="28"/>
          <w:szCs w:val="28"/>
          <w:u w:val="single"/>
        </w:rPr>
        <w:t xml:space="preserve"> ENDED </w:t>
      </w:r>
      <w:r w:rsidR="001B1BF6" w:rsidRPr="00CF58D3">
        <w:rPr>
          <w:rFonts w:ascii="Times New Roman" w:hAnsi="Times New Roman"/>
          <w:b/>
          <w:bCs/>
          <w:sz w:val="28"/>
          <w:szCs w:val="28"/>
          <w:u w:val="single"/>
        </w:rPr>
        <w:t>30</w:t>
      </w:r>
      <w:r w:rsidR="001B1BF6" w:rsidRPr="00CF58D3">
        <w:rPr>
          <w:rFonts w:ascii="Times New Roman" w:hAnsi="Times New Roman"/>
          <w:b/>
          <w:bCs/>
          <w:sz w:val="28"/>
          <w:szCs w:val="28"/>
          <w:u w:val="single"/>
          <w:vertAlign w:val="superscript"/>
        </w:rPr>
        <w:t>th</w:t>
      </w:r>
      <w:r w:rsidR="00570364">
        <w:rPr>
          <w:rFonts w:ascii="Times New Roman" w:hAnsi="Times New Roman"/>
          <w:b/>
          <w:bCs/>
          <w:sz w:val="28"/>
          <w:szCs w:val="28"/>
          <w:u w:val="single"/>
        </w:rPr>
        <w:t>JUNE 2020</w:t>
      </w:r>
    </w:p>
    <w:p w:rsidR="00191B4A" w:rsidRPr="00CF58D3" w:rsidRDefault="00191B4A" w:rsidP="00191B4A">
      <w:pPr>
        <w:autoSpaceDE w:val="0"/>
        <w:autoSpaceDN w:val="0"/>
        <w:adjustRightInd w:val="0"/>
        <w:spacing w:after="0" w:line="240" w:lineRule="auto"/>
        <w:rPr>
          <w:rFonts w:ascii="Times New Roman" w:hAnsi="Times New Roman" w:cs="Times New Roman"/>
          <w:b/>
          <w:bCs/>
        </w:rPr>
      </w:pPr>
    </w:p>
    <w:p w:rsidR="00191B4A" w:rsidRPr="00CF58D3" w:rsidRDefault="00191B4A" w:rsidP="00191B4A">
      <w:pPr>
        <w:autoSpaceDE w:val="0"/>
        <w:autoSpaceDN w:val="0"/>
        <w:adjustRightInd w:val="0"/>
        <w:spacing w:after="0" w:line="240" w:lineRule="auto"/>
        <w:rPr>
          <w:rFonts w:ascii="Times New Roman" w:hAnsi="Times New Roman" w:cs="Times New Roman"/>
          <w:b/>
          <w:bCs/>
        </w:rPr>
      </w:pPr>
    </w:p>
    <w:p w:rsidR="009C2357" w:rsidRPr="00CF58D3" w:rsidRDefault="009C2357" w:rsidP="009C2357">
      <w:pPr>
        <w:autoSpaceDE w:val="0"/>
        <w:autoSpaceDN w:val="0"/>
        <w:adjustRightInd w:val="0"/>
        <w:spacing w:after="0"/>
        <w:rPr>
          <w:rFonts w:ascii="Times New Roman" w:hAnsi="Times New Roman" w:cs="Times New Roman"/>
          <w:b/>
          <w:bCs/>
          <w:sz w:val="24"/>
          <w:szCs w:val="24"/>
        </w:rPr>
      </w:pPr>
      <w:r w:rsidRPr="00CF58D3">
        <w:rPr>
          <w:rFonts w:ascii="Times New Roman" w:hAnsi="Times New Roman" w:cs="Times New Roman"/>
          <w:b/>
          <w:bCs/>
          <w:sz w:val="24"/>
          <w:szCs w:val="24"/>
        </w:rPr>
        <w:t xml:space="preserve">Table DF 2 - </w:t>
      </w:r>
      <w:r w:rsidRPr="00CF58D3">
        <w:rPr>
          <w:rFonts w:ascii="Times New Roman" w:hAnsi="Times New Roman" w:cs="Times New Roman"/>
          <w:b/>
          <w:bCs/>
          <w:sz w:val="24"/>
          <w:szCs w:val="24"/>
          <w:u w:val="single"/>
        </w:rPr>
        <w:t>CAPITAL ADEQUACY</w:t>
      </w:r>
    </w:p>
    <w:p w:rsidR="009C2357" w:rsidRPr="00CF58D3" w:rsidRDefault="009C2357" w:rsidP="009C2357">
      <w:pPr>
        <w:autoSpaceDE w:val="0"/>
        <w:autoSpaceDN w:val="0"/>
        <w:adjustRightInd w:val="0"/>
        <w:spacing w:after="0"/>
        <w:rPr>
          <w:rFonts w:ascii="Times New Roman" w:hAnsi="Times New Roman" w:cs="Times New Roman"/>
          <w:b/>
          <w:bCs/>
        </w:rPr>
      </w:pPr>
    </w:p>
    <w:p w:rsidR="009C2357" w:rsidRPr="00CF58D3" w:rsidRDefault="009C2357" w:rsidP="009C2357">
      <w:pPr>
        <w:autoSpaceDE w:val="0"/>
        <w:autoSpaceDN w:val="0"/>
        <w:adjustRightInd w:val="0"/>
        <w:spacing w:after="0"/>
        <w:rPr>
          <w:rFonts w:ascii="Times New Roman" w:hAnsi="Times New Roman" w:cs="Times New Roman"/>
          <w:b/>
          <w:bCs/>
        </w:rPr>
      </w:pPr>
      <w:r w:rsidRPr="00CF58D3">
        <w:rPr>
          <w:rFonts w:ascii="Times New Roman" w:hAnsi="Times New Roman" w:cs="Times New Roman"/>
          <w:b/>
          <w:bCs/>
        </w:rPr>
        <w:t>Qualitative disclosures</w:t>
      </w:r>
    </w:p>
    <w:p w:rsidR="009C2357" w:rsidRPr="00CF58D3" w:rsidRDefault="009C2357" w:rsidP="009C2357">
      <w:pPr>
        <w:autoSpaceDE w:val="0"/>
        <w:autoSpaceDN w:val="0"/>
        <w:adjustRightInd w:val="0"/>
        <w:spacing w:after="0"/>
        <w:rPr>
          <w:rFonts w:ascii="Times New Roman" w:hAnsi="Times New Roman" w:cs="Times New Roman"/>
          <w:b/>
          <w:bCs/>
        </w:rPr>
      </w:pPr>
    </w:p>
    <w:p w:rsidR="00722A32" w:rsidRPr="00CF58D3" w:rsidRDefault="00722A32" w:rsidP="00722A32">
      <w:pPr>
        <w:autoSpaceDE w:val="0"/>
        <w:autoSpaceDN w:val="0"/>
        <w:adjustRightInd w:val="0"/>
        <w:spacing w:after="0"/>
        <w:jc w:val="both"/>
        <w:rPr>
          <w:rFonts w:ascii="Times New Roman" w:hAnsi="Times New Roman" w:cs="Times New Roman"/>
          <w:bCs/>
        </w:rPr>
      </w:pPr>
      <w:r w:rsidRPr="00CF58D3">
        <w:rPr>
          <w:rFonts w:ascii="Times New Roman" w:hAnsi="Times New Roman" w:cs="Times New Roman"/>
          <w:bCs/>
        </w:rPr>
        <w:t>Bank is already geared up to adopt global best practices while implementing risk management stipulations that are in conformity with the Basel II and Basel III framework.</w:t>
      </w:r>
    </w:p>
    <w:p w:rsidR="00722A32" w:rsidRPr="00CF58D3" w:rsidRDefault="00722A32" w:rsidP="00722A32">
      <w:pPr>
        <w:autoSpaceDE w:val="0"/>
        <w:autoSpaceDN w:val="0"/>
        <w:adjustRightInd w:val="0"/>
        <w:spacing w:after="0"/>
        <w:jc w:val="both"/>
        <w:rPr>
          <w:rFonts w:ascii="Times New Roman" w:hAnsi="Times New Roman" w:cs="Times New Roman"/>
          <w:bCs/>
        </w:rPr>
      </w:pPr>
    </w:p>
    <w:p w:rsidR="00722A32" w:rsidRPr="00CF58D3" w:rsidRDefault="00722A32" w:rsidP="00722A32">
      <w:pPr>
        <w:autoSpaceDE w:val="0"/>
        <w:autoSpaceDN w:val="0"/>
        <w:adjustRightInd w:val="0"/>
        <w:spacing w:after="0"/>
        <w:jc w:val="both"/>
        <w:rPr>
          <w:rFonts w:ascii="Times New Roman" w:hAnsi="Times New Roman" w:cs="Times New Roman"/>
          <w:bCs/>
        </w:rPr>
      </w:pPr>
      <w:r w:rsidRPr="00CF58D3">
        <w:rPr>
          <w:rFonts w:ascii="Times New Roman" w:hAnsi="Times New Roman" w:cs="Times New Roman"/>
          <w:bCs/>
        </w:rPr>
        <w:t>Comprehensive risk management architecture is in place to address various issues concerning Basel II and Basel III. A quarterly review is carried out to assess the capital need of the Bank, keeping in view the anticipated growth in Risk Weighted Assets, Market Risk and Operational Risk.</w:t>
      </w:r>
    </w:p>
    <w:p w:rsidR="00722A32" w:rsidRPr="00CF58D3" w:rsidRDefault="00722A32" w:rsidP="00722A32">
      <w:pPr>
        <w:autoSpaceDE w:val="0"/>
        <w:autoSpaceDN w:val="0"/>
        <w:adjustRightInd w:val="0"/>
        <w:spacing w:after="0"/>
        <w:jc w:val="both"/>
        <w:rPr>
          <w:rFonts w:ascii="Times New Roman" w:hAnsi="Times New Roman" w:cs="Times New Roman"/>
          <w:bCs/>
        </w:rPr>
      </w:pPr>
      <w:r w:rsidRPr="00CF58D3">
        <w:rPr>
          <w:rFonts w:ascii="Times New Roman" w:hAnsi="Times New Roman" w:cs="Times New Roman"/>
          <w:bCs/>
        </w:rPr>
        <w:t>Bank maintains capital as a cushion towards the risk of loss in value of exposure, businesses, etc., to protect the interest of stake holders, more particularly, depositors.</w:t>
      </w:r>
    </w:p>
    <w:p w:rsidR="00722A32" w:rsidRPr="00CF58D3" w:rsidRDefault="00722A32" w:rsidP="00722A32">
      <w:pPr>
        <w:autoSpaceDE w:val="0"/>
        <w:autoSpaceDN w:val="0"/>
        <w:adjustRightInd w:val="0"/>
        <w:spacing w:after="0"/>
        <w:jc w:val="both"/>
        <w:rPr>
          <w:rFonts w:ascii="Times New Roman" w:hAnsi="Times New Roman" w:cs="Times New Roman"/>
          <w:bCs/>
        </w:rPr>
      </w:pPr>
    </w:p>
    <w:p w:rsidR="00722A32" w:rsidRPr="00CF58D3" w:rsidRDefault="00722A32" w:rsidP="00722A32">
      <w:pPr>
        <w:autoSpaceDE w:val="0"/>
        <w:autoSpaceDN w:val="0"/>
        <w:adjustRightInd w:val="0"/>
        <w:spacing w:after="0"/>
        <w:jc w:val="both"/>
        <w:rPr>
          <w:rFonts w:ascii="Times New Roman" w:hAnsi="Times New Roman" w:cs="Times New Roman"/>
          <w:bCs/>
        </w:rPr>
      </w:pPr>
      <w:r w:rsidRPr="00CF58D3">
        <w:rPr>
          <w:rFonts w:ascii="Times New Roman" w:hAnsi="Times New Roman" w:cs="Times New Roman"/>
          <w:bCs/>
        </w:rPr>
        <w:t>Bank has system in place for assessing the capital requirements based on current and future business activities and monitoring the same on an ongoing basis. The bank considers that capital availability is the central theme in the whole process and its computation is relatable to policy, strategy, business level/composition, and Supervisory concern and Disclosure issues. Towards this, bank has evolved a well laid down Internal Capital</w:t>
      </w:r>
      <w:r w:rsidR="004B0049">
        <w:rPr>
          <w:rFonts w:ascii="Times New Roman" w:hAnsi="Times New Roman" w:cs="Times New Roman"/>
          <w:bCs/>
        </w:rPr>
        <w:t xml:space="preserve"> Adequacy Assessment Process (I</w:t>
      </w:r>
      <w:r w:rsidRPr="00CF58D3">
        <w:rPr>
          <w:rFonts w:ascii="Times New Roman" w:hAnsi="Times New Roman" w:cs="Times New Roman"/>
          <w:bCs/>
        </w:rPr>
        <w:t>CAAP) framework and carries out capital calculation under Pillar-2 of Basel II and also of Basel-III at periodical intervals besides Pillar 1 Capital calculation. The bank has formulated Stress Testing policy to measure impact of adverse stress scenarios on the adequacy of capital at periodical intervals.</w:t>
      </w:r>
    </w:p>
    <w:p w:rsidR="00722A32" w:rsidRPr="00CF58D3" w:rsidRDefault="00722A32" w:rsidP="00722A32">
      <w:pPr>
        <w:autoSpaceDE w:val="0"/>
        <w:autoSpaceDN w:val="0"/>
        <w:adjustRightInd w:val="0"/>
        <w:spacing w:after="0"/>
        <w:jc w:val="both"/>
        <w:rPr>
          <w:rFonts w:ascii="Times New Roman" w:hAnsi="Times New Roman" w:cs="Times New Roman"/>
          <w:bCs/>
        </w:rPr>
      </w:pPr>
    </w:p>
    <w:p w:rsidR="00722A32" w:rsidRPr="00CF58D3" w:rsidRDefault="00722A32" w:rsidP="00722A32">
      <w:pPr>
        <w:autoSpaceDE w:val="0"/>
        <w:autoSpaceDN w:val="0"/>
        <w:adjustRightInd w:val="0"/>
        <w:spacing w:after="0"/>
        <w:jc w:val="both"/>
        <w:rPr>
          <w:rFonts w:ascii="Times New Roman" w:hAnsi="Times New Roman" w:cs="Times New Roman"/>
          <w:bCs/>
        </w:rPr>
      </w:pPr>
      <w:r w:rsidRPr="00CF58D3">
        <w:rPr>
          <w:rFonts w:ascii="Times New Roman" w:hAnsi="Times New Roman" w:cs="Times New Roman"/>
          <w:bCs/>
        </w:rPr>
        <w:t>In line with RBI guidelines, the bank has adopted following approaches for implementation of New Capital Adequacy Framework – Basel II.</w:t>
      </w:r>
    </w:p>
    <w:p w:rsidR="00722A32" w:rsidRPr="00CF58D3" w:rsidRDefault="00722A32" w:rsidP="00722A32">
      <w:pPr>
        <w:autoSpaceDE w:val="0"/>
        <w:autoSpaceDN w:val="0"/>
        <w:adjustRightInd w:val="0"/>
        <w:spacing w:after="0"/>
        <w:ind w:left="720"/>
        <w:jc w:val="both"/>
        <w:rPr>
          <w:rFonts w:ascii="Times New Roman" w:hAnsi="Times New Roman" w:cs="Times New Roman"/>
          <w:bCs/>
        </w:rPr>
      </w:pPr>
      <w:r w:rsidRPr="00CF58D3">
        <w:rPr>
          <w:rFonts w:ascii="Times New Roman" w:hAnsi="Times New Roman" w:cs="Times New Roman"/>
          <w:bCs/>
        </w:rPr>
        <w:t xml:space="preserve">- </w:t>
      </w:r>
      <w:proofErr w:type="spellStart"/>
      <w:r w:rsidRPr="00CF58D3">
        <w:rPr>
          <w:rFonts w:ascii="Times New Roman" w:hAnsi="Times New Roman" w:cs="Times New Roman"/>
          <w:bCs/>
        </w:rPr>
        <w:t>Standardised</w:t>
      </w:r>
      <w:proofErr w:type="spellEnd"/>
      <w:r w:rsidRPr="00CF58D3">
        <w:rPr>
          <w:rFonts w:ascii="Times New Roman" w:hAnsi="Times New Roman" w:cs="Times New Roman"/>
          <w:bCs/>
        </w:rPr>
        <w:t xml:space="preserve"> Approach for credit risk</w:t>
      </w:r>
    </w:p>
    <w:p w:rsidR="00722A32" w:rsidRPr="00CF58D3" w:rsidRDefault="00722A32" w:rsidP="00722A32">
      <w:pPr>
        <w:autoSpaceDE w:val="0"/>
        <w:autoSpaceDN w:val="0"/>
        <w:adjustRightInd w:val="0"/>
        <w:spacing w:after="0"/>
        <w:ind w:left="720"/>
        <w:jc w:val="both"/>
        <w:rPr>
          <w:rFonts w:ascii="Times New Roman" w:hAnsi="Times New Roman" w:cs="Times New Roman"/>
          <w:bCs/>
        </w:rPr>
      </w:pPr>
      <w:r w:rsidRPr="00CF58D3">
        <w:rPr>
          <w:rFonts w:ascii="Times New Roman" w:hAnsi="Times New Roman" w:cs="Times New Roman"/>
          <w:bCs/>
        </w:rPr>
        <w:t>- Basic Indicator Approach for operational risk</w:t>
      </w:r>
    </w:p>
    <w:p w:rsidR="00722A32" w:rsidRPr="00CF58D3" w:rsidRDefault="00722A32" w:rsidP="00722A32">
      <w:pPr>
        <w:autoSpaceDE w:val="0"/>
        <w:autoSpaceDN w:val="0"/>
        <w:adjustRightInd w:val="0"/>
        <w:spacing w:after="0"/>
        <w:ind w:left="720"/>
        <w:jc w:val="both"/>
        <w:rPr>
          <w:rFonts w:ascii="Times New Roman" w:hAnsi="Times New Roman" w:cs="Times New Roman"/>
          <w:bCs/>
        </w:rPr>
      </w:pPr>
      <w:r w:rsidRPr="00CF58D3">
        <w:rPr>
          <w:rFonts w:ascii="Times New Roman" w:hAnsi="Times New Roman" w:cs="Times New Roman"/>
          <w:bCs/>
        </w:rPr>
        <w:t xml:space="preserve">- </w:t>
      </w:r>
      <w:proofErr w:type="spellStart"/>
      <w:r w:rsidRPr="00CF58D3">
        <w:rPr>
          <w:rFonts w:ascii="Times New Roman" w:hAnsi="Times New Roman" w:cs="Times New Roman"/>
          <w:bCs/>
        </w:rPr>
        <w:t>Standardised</w:t>
      </w:r>
      <w:proofErr w:type="spellEnd"/>
      <w:r w:rsidRPr="00CF58D3">
        <w:rPr>
          <w:rFonts w:ascii="Times New Roman" w:hAnsi="Times New Roman" w:cs="Times New Roman"/>
          <w:bCs/>
        </w:rPr>
        <w:t xml:space="preserve"> Duration Approach for market risk</w:t>
      </w:r>
    </w:p>
    <w:p w:rsidR="00722A32" w:rsidRPr="00CF58D3" w:rsidRDefault="00722A32" w:rsidP="00722A32">
      <w:pPr>
        <w:autoSpaceDE w:val="0"/>
        <w:autoSpaceDN w:val="0"/>
        <w:adjustRightInd w:val="0"/>
        <w:spacing w:after="0"/>
        <w:ind w:left="720"/>
        <w:jc w:val="both"/>
        <w:rPr>
          <w:rFonts w:ascii="Times New Roman" w:hAnsi="Times New Roman" w:cs="Times New Roman"/>
          <w:bCs/>
        </w:rPr>
      </w:pPr>
    </w:p>
    <w:p w:rsidR="00722A32" w:rsidRPr="00CF58D3" w:rsidRDefault="00722A32" w:rsidP="00722A32">
      <w:pPr>
        <w:autoSpaceDE w:val="0"/>
        <w:autoSpaceDN w:val="0"/>
        <w:adjustRightInd w:val="0"/>
        <w:spacing w:after="0"/>
        <w:jc w:val="both"/>
        <w:rPr>
          <w:rFonts w:ascii="Times New Roman" w:hAnsi="Times New Roman" w:cs="Times New Roman"/>
          <w:bCs/>
        </w:rPr>
      </w:pPr>
      <w:r w:rsidRPr="00CF58D3">
        <w:rPr>
          <w:rFonts w:ascii="Times New Roman" w:hAnsi="Times New Roman" w:cs="Times New Roman"/>
          <w:bCs/>
        </w:rPr>
        <w:t>Though the bank has implemented the Standardized Approach of credit risk, yet the bank shall continue its journey towards adopting Internal Rating Based Approaches.</w:t>
      </w:r>
    </w:p>
    <w:p w:rsidR="000B240E" w:rsidRPr="00CF58D3" w:rsidRDefault="000B240E" w:rsidP="000B240E">
      <w:pPr>
        <w:autoSpaceDE w:val="0"/>
        <w:autoSpaceDN w:val="0"/>
        <w:adjustRightInd w:val="0"/>
        <w:spacing w:after="0"/>
        <w:rPr>
          <w:rFonts w:ascii="Times New Roman" w:hAnsi="Times New Roman" w:cs="Times New Roman"/>
          <w:b/>
          <w:u w:val="single"/>
        </w:rPr>
      </w:pPr>
    </w:p>
    <w:p w:rsidR="007344A8" w:rsidRPr="00CF58D3" w:rsidRDefault="007344A8" w:rsidP="007344A8">
      <w:pPr>
        <w:autoSpaceDE w:val="0"/>
        <w:autoSpaceDN w:val="0"/>
        <w:adjustRightInd w:val="0"/>
        <w:spacing w:after="0"/>
        <w:rPr>
          <w:rFonts w:ascii="Times New Roman" w:hAnsi="Times New Roman" w:cs="Times New Roman"/>
          <w:b/>
          <w:u w:val="single"/>
        </w:rPr>
      </w:pPr>
      <w:r w:rsidRPr="00CF58D3">
        <w:rPr>
          <w:rFonts w:ascii="Times New Roman" w:hAnsi="Times New Roman" w:cs="Times New Roman"/>
          <w:b/>
          <w:u w:val="single"/>
        </w:rPr>
        <w:t xml:space="preserve">Capital requirements for credit risk: </w:t>
      </w:r>
    </w:p>
    <w:p w:rsidR="007344A8" w:rsidRPr="00CF58D3" w:rsidRDefault="003F1B8D" w:rsidP="003F1B8D">
      <w:pPr>
        <w:spacing w:after="0"/>
        <w:jc w:val="right"/>
        <w:rPr>
          <w:rFonts w:ascii="Times New Roman" w:hAnsi="Times New Roman" w:cs="Times New Roman"/>
        </w:rPr>
      </w:pPr>
      <w:r w:rsidRPr="00CF58D3">
        <w:rPr>
          <w:rFonts w:ascii="Times New Roman" w:hAnsi="Times New Roman" w:cs="Times New Roman"/>
          <w:b/>
          <w:bCs/>
        </w:rPr>
        <w:t xml:space="preserve">Amt.  </w:t>
      </w:r>
      <w:proofErr w:type="gramStart"/>
      <w:r w:rsidRPr="00CF58D3">
        <w:rPr>
          <w:rFonts w:ascii="Times New Roman" w:hAnsi="Times New Roman" w:cs="Times New Roman"/>
          <w:b/>
          <w:bCs/>
        </w:rPr>
        <w:t>in</w:t>
      </w:r>
      <w:proofErr w:type="gramEnd"/>
      <w:r w:rsidRPr="00CF58D3">
        <w:rPr>
          <w:rFonts w:ascii="Times New Roman" w:hAnsi="Times New Roman" w:cs="Times New Roman"/>
          <w:b/>
          <w:bCs/>
        </w:rPr>
        <w:t xml:space="preserve"> Lakhs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7"/>
        <w:gridCol w:w="2403"/>
      </w:tblGrid>
      <w:tr w:rsidR="000B240E" w:rsidRPr="00CB0F63" w:rsidTr="004C036A">
        <w:trPr>
          <w:trHeight w:val="350"/>
        </w:trPr>
        <w:tc>
          <w:tcPr>
            <w:tcW w:w="3715" w:type="pct"/>
          </w:tcPr>
          <w:p w:rsidR="007344A8" w:rsidRPr="00CB0F63" w:rsidRDefault="007344A8" w:rsidP="004C036A">
            <w:pPr>
              <w:numPr>
                <w:ilvl w:val="0"/>
                <w:numId w:val="11"/>
              </w:numPr>
              <w:autoSpaceDE w:val="0"/>
              <w:autoSpaceDN w:val="0"/>
              <w:adjustRightInd w:val="0"/>
              <w:spacing w:after="0"/>
              <w:rPr>
                <w:rFonts w:ascii="Times New Roman" w:hAnsi="Times New Roman" w:cs="Times New Roman"/>
                <w:b/>
                <w:bCs/>
              </w:rPr>
            </w:pPr>
            <w:r w:rsidRPr="00CB0F63">
              <w:rPr>
                <w:rFonts w:ascii="Times New Roman" w:hAnsi="Times New Roman" w:cs="Times New Roman"/>
              </w:rPr>
              <w:t xml:space="preserve">Portfolios subject to </w:t>
            </w:r>
            <w:proofErr w:type="spellStart"/>
            <w:r w:rsidRPr="00CB0F63">
              <w:rPr>
                <w:rFonts w:ascii="Times New Roman" w:hAnsi="Times New Roman" w:cs="Times New Roman"/>
              </w:rPr>
              <w:t>standardised</w:t>
            </w:r>
            <w:proofErr w:type="spellEnd"/>
            <w:r w:rsidRPr="00CB0F63">
              <w:rPr>
                <w:rFonts w:ascii="Times New Roman" w:hAnsi="Times New Roman" w:cs="Times New Roman"/>
              </w:rPr>
              <w:t xml:space="preserve"> approach @ 9%</w:t>
            </w:r>
          </w:p>
        </w:tc>
        <w:tc>
          <w:tcPr>
            <w:tcW w:w="1285" w:type="pct"/>
          </w:tcPr>
          <w:p w:rsidR="007344A8" w:rsidRPr="00CB0F63" w:rsidRDefault="00034129" w:rsidP="00357011">
            <w:pPr>
              <w:autoSpaceDE w:val="0"/>
              <w:autoSpaceDN w:val="0"/>
              <w:adjustRightInd w:val="0"/>
              <w:spacing w:after="0"/>
              <w:jc w:val="right"/>
              <w:rPr>
                <w:rFonts w:ascii="Times New Roman" w:hAnsi="Times New Roman" w:cs="Times New Roman"/>
                <w:bCs/>
              </w:rPr>
            </w:pPr>
            <w:r>
              <w:rPr>
                <w:rFonts w:ascii="Times New Roman" w:hAnsi="Times New Roman" w:cs="Times New Roman"/>
                <w:bCs/>
              </w:rPr>
              <w:t>346512</w:t>
            </w:r>
          </w:p>
        </w:tc>
      </w:tr>
      <w:tr w:rsidR="000B240E" w:rsidRPr="00CF58D3" w:rsidTr="004C036A">
        <w:trPr>
          <w:trHeight w:val="395"/>
        </w:trPr>
        <w:tc>
          <w:tcPr>
            <w:tcW w:w="3715" w:type="pct"/>
          </w:tcPr>
          <w:p w:rsidR="007344A8" w:rsidRPr="00CB0F63" w:rsidRDefault="007344A8" w:rsidP="004C036A">
            <w:pPr>
              <w:numPr>
                <w:ilvl w:val="0"/>
                <w:numId w:val="11"/>
              </w:numPr>
              <w:autoSpaceDE w:val="0"/>
              <w:autoSpaceDN w:val="0"/>
              <w:adjustRightInd w:val="0"/>
              <w:spacing w:after="0"/>
              <w:rPr>
                <w:rFonts w:ascii="Times New Roman" w:hAnsi="Times New Roman" w:cs="Times New Roman"/>
              </w:rPr>
            </w:pPr>
            <w:proofErr w:type="spellStart"/>
            <w:r w:rsidRPr="00CB0F63">
              <w:rPr>
                <w:rFonts w:ascii="Times New Roman" w:hAnsi="Times New Roman" w:cs="Times New Roman"/>
              </w:rPr>
              <w:t>Securitisation</w:t>
            </w:r>
            <w:proofErr w:type="spellEnd"/>
            <w:r w:rsidRPr="00CB0F63">
              <w:rPr>
                <w:rFonts w:ascii="Times New Roman" w:hAnsi="Times New Roman" w:cs="Times New Roman"/>
              </w:rPr>
              <w:t xml:space="preserve"> exposures</w:t>
            </w:r>
          </w:p>
        </w:tc>
        <w:tc>
          <w:tcPr>
            <w:tcW w:w="1285" w:type="pct"/>
          </w:tcPr>
          <w:p w:rsidR="007344A8" w:rsidRPr="00CB0F63" w:rsidRDefault="007344A8" w:rsidP="004C036A">
            <w:pPr>
              <w:autoSpaceDE w:val="0"/>
              <w:autoSpaceDN w:val="0"/>
              <w:adjustRightInd w:val="0"/>
              <w:spacing w:after="0"/>
              <w:jc w:val="right"/>
              <w:rPr>
                <w:rFonts w:ascii="Times New Roman" w:hAnsi="Times New Roman" w:cs="Times New Roman"/>
              </w:rPr>
            </w:pPr>
            <w:r w:rsidRPr="00CB0F63">
              <w:rPr>
                <w:rFonts w:ascii="Times New Roman" w:hAnsi="Times New Roman" w:cs="Times New Roman"/>
              </w:rPr>
              <w:t>Nil</w:t>
            </w:r>
          </w:p>
        </w:tc>
      </w:tr>
    </w:tbl>
    <w:p w:rsidR="007344A8" w:rsidRPr="00CF58D3" w:rsidRDefault="007344A8" w:rsidP="007344A8">
      <w:pPr>
        <w:autoSpaceDE w:val="0"/>
        <w:autoSpaceDN w:val="0"/>
        <w:adjustRightInd w:val="0"/>
        <w:spacing w:after="0"/>
        <w:rPr>
          <w:rFonts w:ascii="Times New Roman" w:hAnsi="Times New Roman" w:cs="Times New Roman"/>
        </w:rPr>
      </w:pPr>
    </w:p>
    <w:p w:rsidR="00F93B68" w:rsidRPr="00CF58D3" w:rsidRDefault="00F93B68" w:rsidP="007344A8">
      <w:pPr>
        <w:autoSpaceDE w:val="0"/>
        <w:autoSpaceDN w:val="0"/>
        <w:adjustRightInd w:val="0"/>
        <w:spacing w:after="0"/>
        <w:rPr>
          <w:rFonts w:ascii="Times New Roman" w:hAnsi="Times New Roman" w:cs="Times New Roman"/>
          <w:b/>
          <w:u w:val="single"/>
        </w:rPr>
      </w:pPr>
    </w:p>
    <w:p w:rsidR="00A80BA9" w:rsidRDefault="00A80BA9" w:rsidP="007344A8">
      <w:pPr>
        <w:autoSpaceDE w:val="0"/>
        <w:autoSpaceDN w:val="0"/>
        <w:adjustRightInd w:val="0"/>
        <w:spacing w:after="0"/>
        <w:rPr>
          <w:rFonts w:ascii="Times New Roman" w:hAnsi="Times New Roman" w:cs="Times New Roman"/>
          <w:b/>
          <w:u w:val="single"/>
        </w:rPr>
      </w:pPr>
    </w:p>
    <w:p w:rsidR="0011088C" w:rsidRDefault="0011088C" w:rsidP="007344A8">
      <w:pPr>
        <w:autoSpaceDE w:val="0"/>
        <w:autoSpaceDN w:val="0"/>
        <w:adjustRightInd w:val="0"/>
        <w:spacing w:after="0"/>
        <w:rPr>
          <w:rFonts w:ascii="Times New Roman" w:hAnsi="Times New Roman" w:cs="Times New Roman"/>
          <w:b/>
          <w:u w:val="single"/>
        </w:rPr>
      </w:pPr>
    </w:p>
    <w:p w:rsidR="0011088C" w:rsidRDefault="0011088C" w:rsidP="007344A8">
      <w:pPr>
        <w:autoSpaceDE w:val="0"/>
        <w:autoSpaceDN w:val="0"/>
        <w:adjustRightInd w:val="0"/>
        <w:spacing w:after="0"/>
        <w:rPr>
          <w:rFonts w:ascii="Times New Roman" w:hAnsi="Times New Roman" w:cs="Times New Roman"/>
          <w:b/>
          <w:u w:val="single"/>
        </w:rPr>
      </w:pPr>
    </w:p>
    <w:p w:rsidR="00F94EB9" w:rsidRPr="00CF58D3" w:rsidRDefault="00F94EB9" w:rsidP="007344A8">
      <w:pPr>
        <w:autoSpaceDE w:val="0"/>
        <w:autoSpaceDN w:val="0"/>
        <w:adjustRightInd w:val="0"/>
        <w:spacing w:after="0"/>
        <w:rPr>
          <w:rFonts w:ascii="Times New Roman" w:hAnsi="Times New Roman" w:cs="Times New Roman"/>
          <w:b/>
          <w:u w:val="single"/>
        </w:rPr>
      </w:pPr>
    </w:p>
    <w:p w:rsidR="007344A8" w:rsidRPr="00CF58D3" w:rsidRDefault="007344A8" w:rsidP="007344A8">
      <w:pPr>
        <w:autoSpaceDE w:val="0"/>
        <w:autoSpaceDN w:val="0"/>
        <w:adjustRightInd w:val="0"/>
        <w:spacing w:after="0"/>
        <w:rPr>
          <w:rFonts w:ascii="Times New Roman" w:hAnsi="Times New Roman" w:cs="Times New Roman"/>
          <w:b/>
          <w:u w:val="single"/>
        </w:rPr>
      </w:pPr>
      <w:r w:rsidRPr="00CF58D3">
        <w:rPr>
          <w:rFonts w:ascii="Times New Roman" w:hAnsi="Times New Roman" w:cs="Times New Roman"/>
          <w:b/>
          <w:u w:val="single"/>
        </w:rPr>
        <w:lastRenderedPageBreak/>
        <w:t xml:space="preserve">Capital requirements for market risk: </w:t>
      </w:r>
      <w:proofErr w:type="spellStart"/>
      <w:r w:rsidRPr="00CF58D3">
        <w:rPr>
          <w:rFonts w:ascii="Times New Roman" w:hAnsi="Times New Roman" w:cs="Times New Roman"/>
          <w:b/>
          <w:u w:val="single"/>
        </w:rPr>
        <w:t>Standardised</w:t>
      </w:r>
      <w:proofErr w:type="spellEnd"/>
      <w:r w:rsidRPr="00CF58D3">
        <w:rPr>
          <w:rFonts w:ascii="Times New Roman" w:hAnsi="Times New Roman" w:cs="Times New Roman"/>
          <w:b/>
          <w:u w:val="single"/>
        </w:rPr>
        <w:t xml:space="preserve"> duration approach</w:t>
      </w:r>
    </w:p>
    <w:p w:rsidR="007344A8" w:rsidRPr="00CF58D3" w:rsidRDefault="007344A8" w:rsidP="007344A8">
      <w:pPr>
        <w:spacing w:after="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7"/>
        <w:gridCol w:w="2403"/>
      </w:tblGrid>
      <w:tr w:rsidR="007344A8" w:rsidRPr="00CF58D3" w:rsidTr="004C036A">
        <w:trPr>
          <w:trHeight w:val="332"/>
        </w:trPr>
        <w:tc>
          <w:tcPr>
            <w:tcW w:w="3715" w:type="pct"/>
          </w:tcPr>
          <w:p w:rsidR="007344A8" w:rsidRPr="00CF58D3" w:rsidRDefault="007344A8" w:rsidP="004C036A">
            <w:pPr>
              <w:autoSpaceDE w:val="0"/>
              <w:autoSpaceDN w:val="0"/>
              <w:adjustRightInd w:val="0"/>
              <w:spacing w:after="0"/>
              <w:rPr>
                <w:rFonts w:ascii="Times New Roman" w:hAnsi="Times New Roman" w:cs="Times New Roman"/>
              </w:rPr>
            </w:pPr>
            <w:r w:rsidRPr="00CF58D3">
              <w:rPr>
                <w:rFonts w:ascii="Times New Roman" w:hAnsi="Times New Roman" w:cs="Times New Roman"/>
              </w:rPr>
              <w:t>Capital Charge on account of General Market Risk</w:t>
            </w:r>
          </w:p>
        </w:tc>
        <w:tc>
          <w:tcPr>
            <w:tcW w:w="1285" w:type="pct"/>
          </w:tcPr>
          <w:p w:rsidR="007344A8" w:rsidRPr="00CF58D3" w:rsidRDefault="007344A8" w:rsidP="004C036A">
            <w:pPr>
              <w:autoSpaceDE w:val="0"/>
              <w:autoSpaceDN w:val="0"/>
              <w:adjustRightInd w:val="0"/>
              <w:spacing w:after="0"/>
              <w:jc w:val="right"/>
              <w:rPr>
                <w:rFonts w:ascii="Times New Roman" w:hAnsi="Times New Roman" w:cs="Times New Roman"/>
                <w:b/>
                <w:bCs/>
              </w:rPr>
            </w:pPr>
            <w:r w:rsidRPr="00CF58D3">
              <w:rPr>
                <w:rFonts w:ascii="Times New Roman" w:hAnsi="Times New Roman" w:cs="Times New Roman"/>
                <w:b/>
                <w:bCs/>
              </w:rPr>
              <w:t>Amt.  in Lakhs</w:t>
            </w:r>
          </w:p>
        </w:tc>
      </w:tr>
      <w:tr w:rsidR="007344A8" w:rsidRPr="00CF58D3" w:rsidTr="004C036A">
        <w:trPr>
          <w:trHeight w:val="354"/>
        </w:trPr>
        <w:tc>
          <w:tcPr>
            <w:tcW w:w="3715" w:type="pct"/>
          </w:tcPr>
          <w:p w:rsidR="007344A8" w:rsidRPr="00CF58D3" w:rsidRDefault="007344A8" w:rsidP="004C036A">
            <w:pPr>
              <w:numPr>
                <w:ilvl w:val="0"/>
                <w:numId w:val="12"/>
              </w:numPr>
              <w:autoSpaceDE w:val="0"/>
              <w:autoSpaceDN w:val="0"/>
              <w:adjustRightInd w:val="0"/>
              <w:spacing w:after="0"/>
              <w:rPr>
                <w:rFonts w:ascii="Times New Roman" w:hAnsi="Times New Roman" w:cs="Times New Roman"/>
              </w:rPr>
            </w:pPr>
            <w:r w:rsidRPr="00CF58D3">
              <w:rPr>
                <w:rFonts w:ascii="Times New Roman" w:hAnsi="Times New Roman" w:cs="Times New Roman"/>
              </w:rPr>
              <w:t>Interest rate risk</w:t>
            </w:r>
          </w:p>
        </w:tc>
        <w:tc>
          <w:tcPr>
            <w:tcW w:w="1285" w:type="pct"/>
          </w:tcPr>
          <w:p w:rsidR="007344A8" w:rsidRPr="00CB0F63" w:rsidRDefault="00034129" w:rsidP="00095368">
            <w:pPr>
              <w:autoSpaceDE w:val="0"/>
              <w:autoSpaceDN w:val="0"/>
              <w:adjustRightInd w:val="0"/>
              <w:spacing w:after="0"/>
              <w:jc w:val="right"/>
              <w:rPr>
                <w:rFonts w:ascii="Times New Roman" w:hAnsi="Times New Roman" w:cs="Times New Roman"/>
              </w:rPr>
            </w:pPr>
            <w:r>
              <w:t>56584</w:t>
            </w:r>
          </w:p>
        </w:tc>
      </w:tr>
      <w:tr w:rsidR="007344A8" w:rsidRPr="00CF58D3" w:rsidTr="004C036A">
        <w:trPr>
          <w:trHeight w:val="305"/>
        </w:trPr>
        <w:tc>
          <w:tcPr>
            <w:tcW w:w="3715" w:type="pct"/>
          </w:tcPr>
          <w:p w:rsidR="007344A8" w:rsidRPr="00CF58D3" w:rsidRDefault="007344A8" w:rsidP="004C036A">
            <w:pPr>
              <w:numPr>
                <w:ilvl w:val="0"/>
                <w:numId w:val="12"/>
              </w:numPr>
              <w:autoSpaceDE w:val="0"/>
              <w:autoSpaceDN w:val="0"/>
              <w:adjustRightInd w:val="0"/>
              <w:spacing w:after="0"/>
              <w:rPr>
                <w:rFonts w:ascii="Times New Roman" w:hAnsi="Times New Roman" w:cs="Times New Roman"/>
              </w:rPr>
            </w:pPr>
            <w:r w:rsidRPr="00CF58D3">
              <w:rPr>
                <w:rFonts w:ascii="Times New Roman" w:hAnsi="Times New Roman" w:cs="Times New Roman"/>
              </w:rPr>
              <w:t>Foreign exchange risk (including gold)</w:t>
            </w:r>
          </w:p>
        </w:tc>
        <w:tc>
          <w:tcPr>
            <w:tcW w:w="1285" w:type="pct"/>
          </w:tcPr>
          <w:p w:rsidR="007344A8" w:rsidRPr="00CB0F63" w:rsidRDefault="00034129" w:rsidP="004C036A">
            <w:pPr>
              <w:autoSpaceDE w:val="0"/>
              <w:autoSpaceDN w:val="0"/>
              <w:adjustRightInd w:val="0"/>
              <w:spacing w:after="0"/>
              <w:jc w:val="right"/>
              <w:rPr>
                <w:rFonts w:ascii="Times New Roman" w:hAnsi="Times New Roman" w:cs="Times New Roman"/>
              </w:rPr>
            </w:pPr>
            <w:r>
              <w:rPr>
                <w:rFonts w:ascii="Times New Roman" w:hAnsi="Times New Roman" w:cs="Times New Roman"/>
              </w:rPr>
              <w:t>225</w:t>
            </w:r>
          </w:p>
        </w:tc>
      </w:tr>
      <w:tr w:rsidR="007344A8" w:rsidRPr="00CF58D3" w:rsidTr="004C036A">
        <w:trPr>
          <w:trHeight w:val="260"/>
        </w:trPr>
        <w:tc>
          <w:tcPr>
            <w:tcW w:w="3715" w:type="pct"/>
          </w:tcPr>
          <w:p w:rsidR="007344A8" w:rsidRPr="00CF58D3" w:rsidRDefault="007344A8" w:rsidP="004C036A">
            <w:pPr>
              <w:numPr>
                <w:ilvl w:val="0"/>
                <w:numId w:val="12"/>
              </w:numPr>
              <w:autoSpaceDE w:val="0"/>
              <w:autoSpaceDN w:val="0"/>
              <w:adjustRightInd w:val="0"/>
              <w:spacing w:after="0"/>
              <w:rPr>
                <w:rFonts w:ascii="Times New Roman" w:hAnsi="Times New Roman" w:cs="Times New Roman"/>
              </w:rPr>
            </w:pPr>
            <w:r w:rsidRPr="00CF58D3">
              <w:rPr>
                <w:rFonts w:ascii="Times New Roman" w:hAnsi="Times New Roman" w:cs="Times New Roman"/>
              </w:rPr>
              <w:t>Equity risk</w:t>
            </w:r>
          </w:p>
        </w:tc>
        <w:tc>
          <w:tcPr>
            <w:tcW w:w="1285" w:type="pct"/>
          </w:tcPr>
          <w:p w:rsidR="007344A8" w:rsidRPr="00CB0F63" w:rsidRDefault="00034129" w:rsidP="00095368">
            <w:pPr>
              <w:autoSpaceDE w:val="0"/>
              <w:autoSpaceDN w:val="0"/>
              <w:adjustRightInd w:val="0"/>
              <w:spacing w:after="0"/>
              <w:jc w:val="right"/>
              <w:rPr>
                <w:rFonts w:ascii="Times New Roman" w:hAnsi="Times New Roman" w:cs="Times New Roman"/>
              </w:rPr>
            </w:pPr>
            <w:r>
              <w:rPr>
                <w:rFonts w:ascii="Times New Roman" w:hAnsi="Times New Roman" w:cs="Times New Roman"/>
              </w:rPr>
              <w:t>4689</w:t>
            </w:r>
          </w:p>
        </w:tc>
      </w:tr>
    </w:tbl>
    <w:p w:rsidR="007344A8" w:rsidRPr="00CF58D3" w:rsidRDefault="007344A8" w:rsidP="007344A8">
      <w:pPr>
        <w:autoSpaceDE w:val="0"/>
        <w:autoSpaceDN w:val="0"/>
        <w:adjustRightInd w:val="0"/>
        <w:spacing w:after="0"/>
        <w:rPr>
          <w:rFonts w:ascii="Times New Roman" w:hAnsi="Times New Roman" w:cs="Times New Roman"/>
        </w:rPr>
      </w:pPr>
    </w:p>
    <w:p w:rsidR="007344A8" w:rsidRPr="00CF58D3" w:rsidRDefault="007344A8" w:rsidP="007344A8">
      <w:pPr>
        <w:autoSpaceDE w:val="0"/>
        <w:autoSpaceDN w:val="0"/>
        <w:adjustRightInd w:val="0"/>
        <w:spacing w:after="0"/>
        <w:rPr>
          <w:rFonts w:ascii="Times New Roman" w:hAnsi="Times New Roman" w:cs="Times New Roman"/>
          <w:b/>
          <w:u w:val="single"/>
        </w:rPr>
      </w:pPr>
      <w:r w:rsidRPr="00CF58D3">
        <w:rPr>
          <w:rFonts w:ascii="Times New Roman" w:hAnsi="Times New Roman" w:cs="Times New Roman"/>
          <w:b/>
          <w:u w:val="single"/>
        </w:rPr>
        <w:t>Capital requirements for operational risk:</w:t>
      </w:r>
    </w:p>
    <w:p w:rsidR="007344A8" w:rsidRPr="00CF58D3" w:rsidRDefault="007344A8" w:rsidP="007344A8">
      <w:pPr>
        <w:autoSpaceDE w:val="0"/>
        <w:autoSpaceDN w:val="0"/>
        <w:adjustRightInd w:val="0"/>
        <w:spacing w:after="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7"/>
        <w:gridCol w:w="2403"/>
      </w:tblGrid>
      <w:tr w:rsidR="00FA206D" w:rsidRPr="00CF58D3" w:rsidTr="004C036A">
        <w:tc>
          <w:tcPr>
            <w:tcW w:w="3715" w:type="pct"/>
          </w:tcPr>
          <w:p w:rsidR="007344A8" w:rsidRPr="00CF58D3" w:rsidRDefault="007344A8" w:rsidP="004C036A">
            <w:pPr>
              <w:autoSpaceDE w:val="0"/>
              <w:autoSpaceDN w:val="0"/>
              <w:adjustRightInd w:val="0"/>
              <w:spacing w:after="0"/>
              <w:rPr>
                <w:rFonts w:ascii="Times New Roman" w:hAnsi="Times New Roman" w:cs="Times New Roman"/>
                <w:b/>
                <w:bCs/>
              </w:rPr>
            </w:pPr>
          </w:p>
        </w:tc>
        <w:tc>
          <w:tcPr>
            <w:tcW w:w="1285" w:type="pct"/>
          </w:tcPr>
          <w:p w:rsidR="007344A8" w:rsidRPr="00CF58D3" w:rsidRDefault="007344A8" w:rsidP="004C036A">
            <w:pPr>
              <w:autoSpaceDE w:val="0"/>
              <w:autoSpaceDN w:val="0"/>
              <w:adjustRightInd w:val="0"/>
              <w:spacing w:after="0"/>
              <w:jc w:val="right"/>
              <w:rPr>
                <w:rFonts w:ascii="Times New Roman" w:hAnsi="Times New Roman" w:cs="Times New Roman"/>
                <w:b/>
                <w:bCs/>
              </w:rPr>
            </w:pPr>
            <w:r w:rsidRPr="00CF58D3">
              <w:rPr>
                <w:rFonts w:ascii="Times New Roman" w:hAnsi="Times New Roman" w:cs="Times New Roman"/>
                <w:b/>
                <w:bCs/>
              </w:rPr>
              <w:t>Amt.  in Lakhs</w:t>
            </w:r>
          </w:p>
        </w:tc>
      </w:tr>
      <w:tr w:rsidR="00FA206D" w:rsidRPr="00CF58D3" w:rsidTr="00AD52A1">
        <w:trPr>
          <w:trHeight w:val="323"/>
        </w:trPr>
        <w:tc>
          <w:tcPr>
            <w:tcW w:w="3715" w:type="pct"/>
          </w:tcPr>
          <w:p w:rsidR="007344A8" w:rsidRPr="00CF58D3" w:rsidRDefault="007344A8" w:rsidP="004C036A">
            <w:pPr>
              <w:autoSpaceDE w:val="0"/>
              <w:autoSpaceDN w:val="0"/>
              <w:adjustRightInd w:val="0"/>
              <w:spacing w:after="0"/>
              <w:rPr>
                <w:rFonts w:ascii="Times New Roman" w:hAnsi="Times New Roman" w:cs="Times New Roman"/>
                <w:b/>
                <w:bCs/>
              </w:rPr>
            </w:pPr>
            <w:r w:rsidRPr="00CF58D3">
              <w:rPr>
                <w:rFonts w:ascii="Times New Roman" w:hAnsi="Times New Roman" w:cs="Times New Roman"/>
              </w:rPr>
              <w:t>Basic indicator approach</w:t>
            </w:r>
          </w:p>
        </w:tc>
        <w:tc>
          <w:tcPr>
            <w:tcW w:w="1285" w:type="pct"/>
          </w:tcPr>
          <w:p w:rsidR="007344A8" w:rsidRPr="00CF58D3" w:rsidRDefault="00AD52A1" w:rsidP="000D0A4A">
            <w:pPr>
              <w:spacing w:after="0"/>
              <w:jc w:val="right"/>
              <w:rPr>
                <w:rFonts w:ascii="Times New Roman" w:hAnsi="Times New Roman" w:cs="Times New Roman"/>
              </w:rPr>
            </w:pPr>
            <w:r w:rsidRPr="00CF58D3">
              <w:rPr>
                <w:rFonts w:ascii="Times New Roman" w:hAnsi="Times New Roman" w:cs="Times New Roman"/>
              </w:rPr>
              <w:t>3</w:t>
            </w:r>
            <w:r w:rsidR="00034129">
              <w:rPr>
                <w:rFonts w:ascii="Times New Roman" w:hAnsi="Times New Roman" w:cs="Times New Roman"/>
              </w:rPr>
              <w:t>8686</w:t>
            </w:r>
          </w:p>
        </w:tc>
      </w:tr>
    </w:tbl>
    <w:p w:rsidR="007344A8" w:rsidRPr="00CF58D3" w:rsidRDefault="007344A8" w:rsidP="007344A8">
      <w:pPr>
        <w:autoSpaceDE w:val="0"/>
        <w:autoSpaceDN w:val="0"/>
        <w:adjustRightInd w:val="0"/>
        <w:spacing w:after="0"/>
        <w:rPr>
          <w:rFonts w:ascii="Times New Roman" w:hAnsi="Times New Roman" w:cs="Times New Roman"/>
        </w:rPr>
      </w:pPr>
    </w:p>
    <w:p w:rsidR="007344A8" w:rsidRPr="00CF58D3" w:rsidRDefault="007344A8" w:rsidP="007344A8">
      <w:pPr>
        <w:autoSpaceDE w:val="0"/>
        <w:autoSpaceDN w:val="0"/>
        <w:adjustRightInd w:val="0"/>
        <w:spacing w:after="0"/>
        <w:rPr>
          <w:rFonts w:ascii="Times New Roman" w:hAnsi="Times New Roman" w:cs="Times New Roman"/>
          <w:b/>
          <w:u w:val="single"/>
        </w:rPr>
      </w:pPr>
      <w:r w:rsidRPr="00CF58D3">
        <w:rPr>
          <w:rFonts w:ascii="Times New Roman" w:hAnsi="Times New Roman" w:cs="Times New Roman"/>
          <w:b/>
          <w:u w:val="single"/>
        </w:rPr>
        <w:t>Total and Tier 1 capital ratio for the Bank:</w:t>
      </w:r>
    </w:p>
    <w:p w:rsidR="007344A8" w:rsidRPr="00CF58D3" w:rsidRDefault="007344A8" w:rsidP="007344A8">
      <w:pPr>
        <w:autoSpaceDE w:val="0"/>
        <w:autoSpaceDN w:val="0"/>
        <w:adjustRightInd w:val="0"/>
        <w:spacing w:after="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6"/>
        <w:gridCol w:w="2364"/>
      </w:tblGrid>
      <w:tr w:rsidR="00FA206D" w:rsidRPr="00CF58D3" w:rsidTr="004C036A">
        <w:trPr>
          <w:trHeight w:val="395"/>
        </w:trPr>
        <w:tc>
          <w:tcPr>
            <w:tcW w:w="3736" w:type="pct"/>
          </w:tcPr>
          <w:p w:rsidR="007344A8" w:rsidRPr="00CF58D3" w:rsidRDefault="007344A8" w:rsidP="004C036A">
            <w:pPr>
              <w:autoSpaceDE w:val="0"/>
              <w:autoSpaceDN w:val="0"/>
              <w:adjustRightInd w:val="0"/>
              <w:spacing w:after="0"/>
              <w:rPr>
                <w:rFonts w:ascii="Times New Roman" w:hAnsi="Times New Roman" w:cs="Times New Roman"/>
                <w:bCs/>
              </w:rPr>
            </w:pPr>
            <w:r w:rsidRPr="00CF58D3">
              <w:rPr>
                <w:rFonts w:ascii="Times New Roman" w:hAnsi="Times New Roman" w:cs="Times New Roman"/>
                <w:bCs/>
              </w:rPr>
              <w:t>Total Capital to Risk Weighted Assets Ratio as per Basel III</w:t>
            </w:r>
          </w:p>
        </w:tc>
        <w:tc>
          <w:tcPr>
            <w:tcW w:w="1264" w:type="pct"/>
          </w:tcPr>
          <w:p w:rsidR="007344A8" w:rsidRPr="00CF58D3" w:rsidRDefault="003A14B4" w:rsidP="009D4558">
            <w:pPr>
              <w:autoSpaceDE w:val="0"/>
              <w:autoSpaceDN w:val="0"/>
              <w:adjustRightInd w:val="0"/>
              <w:spacing w:after="0"/>
              <w:jc w:val="right"/>
              <w:rPr>
                <w:rFonts w:ascii="Times New Roman" w:hAnsi="Times New Roman" w:cs="Times New Roman"/>
              </w:rPr>
            </w:pPr>
            <w:r w:rsidRPr="00CF58D3">
              <w:rPr>
                <w:rFonts w:ascii="Times New Roman" w:hAnsi="Times New Roman" w:cs="Times New Roman"/>
              </w:rPr>
              <w:t>1</w:t>
            </w:r>
            <w:r w:rsidR="00034129">
              <w:rPr>
                <w:rFonts w:ascii="Times New Roman" w:hAnsi="Times New Roman" w:cs="Times New Roman"/>
              </w:rPr>
              <w:t>2.81</w:t>
            </w:r>
            <w:r w:rsidRPr="00CF58D3">
              <w:rPr>
                <w:rFonts w:ascii="Times New Roman" w:hAnsi="Times New Roman" w:cs="Times New Roman"/>
              </w:rPr>
              <w:t>%</w:t>
            </w:r>
          </w:p>
        </w:tc>
      </w:tr>
      <w:tr w:rsidR="00FA206D" w:rsidRPr="00CF58D3" w:rsidTr="004C036A">
        <w:trPr>
          <w:trHeight w:val="314"/>
        </w:trPr>
        <w:tc>
          <w:tcPr>
            <w:tcW w:w="3736" w:type="pct"/>
          </w:tcPr>
          <w:p w:rsidR="007344A8" w:rsidRPr="00CF58D3" w:rsidRDefault="007344A8" w:rsidP="004C036A">
            <w:pPr>
              <w:autoSpaceDE w:val="0"/>
              <w:autoSpaceDN w:val="0"/>
              <w:adjustRightInd w:val="0"/>
              <w:spacing w:after="0"/>
              <w:rPr>
                <w:rFonts w:ascii="Times New Roman" w:hAnsi="Times New Roman" w:cs="Times New Roman"/>
                <w:bCs/>
              </w:rPr>
            </w:pPr>
            <w:r w:rsidRPr="00CF58D3">
              <w:rPr>
                <w:rFonts w:ascii="Times New Roman" w:hAnsi="Times New Roman" w:cs="Times New Roman"/>
                <w:bCs/>
              </w:rPr>
              <w:t>Common Equity Tier I Capital to Risk Weighted Assets Ratio as per Basel III</w:t>
            </w:r>
          </w:p>
        </w:tc>
        <w:tc>
          <w:tcPr>
            <w:tcW w:w="1264" w:type="pct"/>
          </w:tcPr>
          <w:p w:rsidR="007344A8" w:rsidRPr="00CF58D3" w:rsidRDefault="009D4558" w:rsidP="009D4558">
            <w:pPr>
              <w:autoSpaceDE w:val="0"/>
              <w:autoSpaceDN w:val="0"/>
              <w:adjustRightInd w:val="0"/>
              <w:spacing w:after="0"/>
              <w:jc w:val="right"/>
              <w:rPr>
                <w:rFonts w:ascii="Times New Roman" w:hAnsi="Times New Roman" w:cs="Times New Roman"/>
              </w:rPr>
            </w:pPr>
            <w:r>
              <w:rPr>
                <w:rFonts w:ascii="Times New Roman" w:hAnsi="Times New Roman" w:cs="Times New Roman"/>
              </w:rPr>
              <w:t>7</w:t>
            </w:r>
            <w:r w:rsidR="00FA206D" w:rsidRPr="00CF58D3">
              <w:rPr>
                <w:rFonts w:ascii="Times New Roman" w:hAnsi="Times New Roman" w:cs="Times New Roman"/>
              </w:rPr>
              <w:t>.</w:t>
            </w:r>
            <w:r w:rsidR="00034129">
              <w:rPr>
                <w:rFonts w:ascii="Times New Roman" w:hAnsi="Times New Roman" w:cs="Times New Roman"/>
              </w:rPr>
              <w:t>42</w:t>
            </w:r>
            <w:r w:rsidR="007344A8" w:rsidRPr="00CF58D3">
              <w:rPr>
                <w:rFonts w:ascii="Times New Roman" w:hAnsi="Times New Roman" w:cs="Times New Roman"/>
              </w:rPr>
              <w:t>%</w:t>
            </w:r>
          </w:p>
        </w:tc>
      </w:tr>
      <w:tr w:rsidR="00FA206D" w:rsidRPr="00CF58D3" w:rsidTr="004C036A">
        <w:trPr>
          <w:trHeight w:val="323"/>
        </w:trPr>
        <w:tc>
          <w:tcPr>
            <w:tcW w:w="3736" w:type="pct"/>
          </w:tcPr>
          <w:p w:rsidR="007344A8" w:rsidRPr="00CF58D3" w:rsidRDefault="007344A8" w:rsidP="004C036A">
            <w:pPr>
              <w:autoSpaceDE w:val="0"/>
              <w:autoSpaceDN w:val="0"/>
              <w:adjustRightInd w:val="0"/>
              <w:spacing w:after="0"/>
              <w:rPr>
                <w:rFonts w:ascii="Times New Roman" w:hAnsi="Times New Roman" w:cs="Times New Roman"/>
                <w:bCs/>
              </w:rPr>
            </w:pPr>
            <w:r w:rsidRPr="00CF58D3">
              <w:rPr>
                <w:rFonts w:ascii="Times New Roman" w:hAnsi="Times New Roman" w:cs="Times New Roman"/>
                <w:bCs/>
              </w:rPr>
              <w:t>Tier I Capital to Risk Weighted Assets Ratio as per Basel III</w:t>
            </w:r>
          </w:p>
        </w:tc>
        <w:tc>
          <w:tcPr>
            <w:tcW w:w="1264" w:type="pct"/>
          </w:tcPr>
          <w:p w:rsidR="007344A8" w:rsidRPr="00CF58D3" w:rsidRDefault="009D4558" w:rsidP="009D4558">
            <w:pPr>
              <w:autoSpaceDE w:val="0"/>
              <w:autoSpaceDN w:val="0"/>
              <w:adjustRightInd w:val="0"/>
              <w:spacing w:after="0"/>
              <w:jc w:val="right"/>
              <w:rPr>
                <w:rFonts w:ascii="Times New Roman" w:hAnsi="Times New Roman" w:cs="Times New Roman"/>
              </w:rPr>
            </w:pPr>
            <w:r>
              <w:rPr>
                <w:rFonts w:ascii="Times New Roman" w:hAnsi="Times New Roman" w:cs="Times New Roman"/>
              </w:rPr>
              <w:t>9</w:t>
            </w:r>
            <w:r w:rsidR="003A14B4" w:rsidRPr="00CF58D3">
              <w:rPr>
                <w:rFonts w:ascii="Times New Roman" w:hAnsi="Times New Roman" w:cs="Times New Roman"/>
              </w:rPr>
              <w:t>.</w:t>
            </w:r>
            <w:r w:rsidR="00034129">
              <w:rPr>
                <w:rFonts w:ascii="Times New Roman" w:hAnsi="Times New Roman" w:cs="Times New Roman"/>
              </w:rPr>
              <w:t>46</w:t>
            </w:r>
            <w:r w:rsidR="007344A8" w:rsidRPr="00CF58D3">
              <w:rPr>
                <w:rFonts w:ascii="Times New Roman" w:hAnsi="Times New Roman" w:cs="Times New Roman"/>
              </w:rPr>
              <w:t>%</w:t>
            </w:r>
          </w:p>
        </w:tc>
      </w:tr>
    </w:tbl>
    <w:p w:rsidR="00F93B68" w:rsidRPr="00CF58D3" w:rsidRDefault="00F93B68" w:rsidP="00191B4A">
      <w:pPr>
        <w:tabs>
          <w:tab w:val="left" w:pos="1166"/>
        </w:tabs>
        <w:autoSpaceDE w:val="0"/>
        <w:autoSpaceDN w:val="0"/>
        <w:adjustRightInd w:val="0"/>
        <w:spacing w:after="0" w:line="240" w:lineRule="auto"/>
        <w:rPr>
          <w:rFonts w:ascii="Times New Roman" w:hAnsi="Times New Roman" w:cs="Times New Roman"/>
          <w:b/>
          <w:bCs/>
        </w:rPr>
      </w:pPr>
    </w:p>
    <w:p w:rsidR="00191B4A" w:rsidRPr="00CF58D3" w:rsidRDefault="00191B4A" w:rsidP="00191B4A">
      <w:pPr>
        <w:tabs>
          <w:tab w:val="left" w:pos="1166"/>
        </w:tabs>
        <w:autoSpaceDE w:val="0"/>
        <w:autoSpaceDN w:val="0"/>
        <w:adjustRightInd w:val="0"/>
        <w:spacing w:after="0" w:line="240" w:lineRule="auto"/>
        <w:rPr>
          <w:rFonts w:ascii="Times New Roman" w:hAnsi="Times New Roman" w:cs="Times New Roman"/>
          <w:b/>
          <w:bCs/>
          <w:sz w:val="24"/>
          <w:szCs w:val="24"/>
          <w:u w:val="single"/>
        </w:rPr>
      </w:pPr>
      <w:r w:rsidRPr="00CF58D3">
        <w:rPr>
          <w:rFonts w:ascii="Times New Roman" w:hAnsi="Times New Roman" w:cs="Times New Roman"/>
          <w:b/>
          <w:bCs/>
          <w:sz w:val="24"/>
          <w:szCs w:val="24"/>
        </w:rPr>
        <w:t xml:space="preserve">Table DF </w:t>
      </w:r>
      <w:r w:rsidR="003848CC" w:rsidRPr="00CF58D3">
        <w:rPr>
          <w:rFonts w:ascii="Times New Roman" w:hAnsi="Times New Roman" w:cs="Times New Roman"/>
          <w:b/>
          <w:bCs/>
          <w:sz w:val="24"/>
          <w:szCs w:val="24"/>
        </w:rPr>
        <w:t>3</w:t>
      </w:r>
      <w:r w:rsidRPr="00CF58D3">
        <w:rPr>
          <w:rFonts w:ascii="Times New Roman" w:hAnsi="Times New Roman" w:cs="Times New Roman"/>
          <w:b/>
          <w:bCs/>
          <w:sz w:val="24"/>
          <w:szCs w:val="24"/>
        </w:rPr>
        <w:t xml:space="preserve"> - </w:t>
      </w:r>
      <w:r w:rsidRPr="00CF58D3">
        <w:rPr>
          <w:rFonts w:ascii="Times New Roman" w:hAnsi="Times New Roman" w:cs="Times New Roman"/>
          <w:b/>
          <w:bCs/>
          <w:sz w:val="24"/>
          <w:szCs w:val="24"/>
          <w:u w:val="single"/>
        </w:rPr>
        <w:t xml:space="preserve">CREDIT </w:t>
      </w:r>
      <w:proofErr w:type="gramStart"/>
      <w:r w:rsidRPr="00CF58D3">
        <w:rPr>
          <w:rFonts w:ascii="Times New Roman" w:hAnsi="Times New Roman" w:cs="Times New Roman"/>
          <w:b/>
          <w:bCs/>
          <w:sz w:val="24"/>
          <w:szCs w:val="24"/>
          <w:u w:val="single"/>
        </w:rPr>
        <w:t>RISK :</w:t>
      </w:r>
      <w:proofErr w:type="gramEnd"/>
      <w:r w:rsidRPr="00CF58D3">
        <w:rPr>
          <w:rFonts w:ascii="Times New Roman" w:hAnsi="Times New Roman" w:cs="Times New Roman"/>
          <w:b/>
          <w:bCs/>
          <w:sz w:val="24"/>
          <w:szCs w:val="24"/>
          <w:u w:val="single"/>
        </w:rPr>
        <w:t xml:space="preserve"> GENERAL DISCLOSURES </w:t>
      </w:r>
    </w:p>
    <w:p w:rsidR="00F93B68" w:rsidRPr="00CF58D3" w:rsidRDefault="00F93B68" w:rsidP="00191B4A">
      <w:pPr>
        <w:autoSpaceDE w:val="0"/>
        <w:autoSpaceDN w:val="0"/>
        <w:adjustRightInd w:val="0"/>
        <w:spacing w:after="0" w:line="240" w:lineRule="auto"/>
        <w:rPr>
          <w:rFonts w:ascii="Times New Roman" w:hAnsi="Times New Roman" w:cs="Times New Roman"/>
          <w:b/>
          <w:bCs/>
          <w:u w:val="single"/>
        </w:rPr>
      </w:pPr>
    </w:p>
    <w:p w:rsidR="00191B4A" w:rsidRPr="00CF58D3" w:rsidRDefault="00191B4A" w:rsidP="00191B4A">
      <w:pPr>
        <w:autoSpaceDE w:val="0"/>
        <w:autoSpaceDN w:val="0"/>
        <w:adjustRightInd w:val="0"/>
        <w:spacing w:after="0" w:line="240" w:lineRule="auto"/>
        <w:rPr>
          <w:rFonts w:ascii="Times New Roman" w:hAnsi="Times New Roman" w:cs="Times New Roman"/>
          <w:u w:val="single"/>
        </w:rPr>
      </w:pPr>
      <w:r w:rsidRPr="00CF58D3">
        <w:rPr>
          <w:rFonts w:ascii="Times New Roman" w:hAnsi="Times New Roman" w:cs="Times New Roman"/>
          <w:b/>
          <w:bCs/>
          <w:u w:val="single"/>
        </w:rPr>
        <w:t>Qualitative Disclosures</w:t>
      </w:r>
    </w:p>
    <w:p w:rsidR="00191B4A" w:rsidRPr="00CF58D3" w:rsidRDefault="00191B4A" w:rsidP="00191B4A">
      <w:pPr>
        <w:autoSpaceDE w:val="0"/>
        <w:autoSpaceDN w:val="0"/>
        <w:adjustRightInd w:val="0"/>
        <w:spacing w:after="0" w:line="240" w:lineRule="auto"/>
        <w:rPr>
          <w:rFonts w:ascii="Times New Roman" w:hAnsi="Times New Roman" w:cs="Times New Roman"/>
          <w:b/>
          <w:bCs/>
        </w:rPr>
      </w:pPr>
    </w:p>
    <w:p w:rsidR="00191B4A" w:rsidRPr="00AD3092" w:rsidRDefault="00191B4A" w:rsidP="00191B4A">
      <w:pPr>
        <w:widowControl w:val="0"/>
        <w:autoSpaceDE w:val="0"/>
        <w:autoSpaceDN w:val="0"/>
        <w:adjustRightInd w:val="0"/>
        <w:spacing w:after="0"/>
        <w:jc w:val="both"/>
        <w:rPr>
          <w:rFonts w:ascii="Times New Roman" w:hAnsi="Times New Roman" w:cs="Times New Roman"/>
          <w:b/>
        </w:rPr>
      </w:pPr>
      <w:r w:rsidRPr="00AD3092">
        <w:rPr>
          <w:rFonts w:ascii="Times New Roman" w:hAnsi="Times New Roman" w:cs="Times New Roman"/>
          <w:b/>
        </w:rPr>
        <w:t xml:space="preserve">A. DEFINITIONS OF PAST DUE AND IMPAIRED: </w:t>
      </w:r>
    </w:p>
    <w:p w:rsidR="00191B4A" w:rsidRPr="00AD3092" w:rsidRDefault="00191B4A" w:rsidP="00191B4A">
      <w:pPr>
        <w:widowControl w:val="0"/>
        <w:autoSpaceDE w:val="0"/>
        <w:autoSpaceDN w:val="0"/>
        <w:adjustRightInd w:val="0"/>
        <w:spacing w:after="0"/>
        <w:jc w:val="both"/>
        <w:rPr>
          <w:rFonts w:ascii="Times New Roman" w:hAnsi="Times New Roman" w:cs="Times New Roman"/>
          <w:b/>
        </w:rPr>
      </w:pPr>
    </w:p>
    <w:p w:rsidR="000B240E" w:rsidRPr="00AD3092" w:rsidRDefault="000B240E" w:rsidP="000B240E">
      <w:pPr>
        <w:autoSpaceDE w:val="0"/>
        <w:autoSpaceDN w:val="0"/>
        <w:adjustRightInd w:val="0"/>
        <w:spacing w:after="0"/>
        <w:jc w:val="both"/>
        <w:rPr>
          <w:rFonts w:ascii="Times New Roman" w:hAnsi="Times New Roman" w:cs="Times New Roman"/>
        </w:rPr>
      </w:pPr>
      <w:r w:rsidRPr="00AD3092">
        <w:rPr>
          <w:rFonts w:ascii="Times New Roman" w:hAnsi="Times New Roman" w:cs="Times New Roman"/>
        </w:rPr>
        <w:t xml:space="preserve">The Bank follows the basic prudential guidelines issued by the RBI on classification of Non-Performing Asset (NPA) as </w:t>
      </w:r>
      <w:proofErr w:type="gramStart"/>
      <w:r w:rsidRPr="00AD3092">
        <w:rPr>
          <w:rFonts w:ascii="Times New Roman" w:hAnsi="Times New Roman" w:cs="Times New Roman"/>
        </w:rPr>
        <w:t>under :</w:t>
      </w:r>
      <w:proofErr w:type="gramEnd"/>
    </w:p>
    <w:p w:rsidR="000B240E" w:rsidRPr="00AD3092" w:rsidRDefault="000B240E" w:rsidP="000B240E">
      <w:pPr>
        <w:autoSpaceDE w:val="0"/>
        <w:autoSpaceDN w:val="0"/>
        <w:adjustRightInd w:val="0"/>
        <w:spacing w:after="0"/>
        <w:jc w:val="both"/>
        <w:rPr>
          <w:rFonts w:ascii="Times New Roman" w:hAnsi="Times New Roman" w:cs="Times New Roman"/>
        </w:rPr>
      </w:pPr>
    </w:p>
    <w:p w:rsidR="000B240E" w:rsidRPr="00AD3092" w:rsidRDefault="000B240E" w:rsidP="000B240E">
      <w:pPr>
        <w:numPr>
          <w:ilvl w:val="0"/>
          <w:numId w:val="1"/>
        </w:numPr>
        <w:autoSpaceDE w:val="0"/>
        <w:autoSpaceDN w:val="0"/>
        <w:adjustRightInd w:val="0"/>
        <w:spacing w:after="0"/>
        <w:jc w:val="both"/>
        <w:rPr>
          <w:rFonts w:ascii="Times New Roman" w:hAnsi="Times New Roman" w:cs="Times New Roman"/>
        </w:rPr>
      </w:pPr>
      <w:r w:rsidRPr="00AD3092">
        <w:rPr>
          <w:rFonts w:ascii="Times New Roman" w:hAnsi="Times New Roman" w:cs="Times New Roman"/>
        </w:rPr>
        <w:t>Interest and / or installment of principal remain overdue for a period of more than 90 days in respect of a term loan.</w:t>
      </w:r>
    </w:p>
    <w:p w:rsidR="000B240E" w:rsidRPr="00AD3092" w:rsidRDefault="000B240E" w:rsidP="000B240E">
      <w:pPr>
        <w:numPr>
          <w:ilvl w:val="0"/>
          <w:numId w:val="1"/>
        </w:numPr>
        <w:autoSpaceDE w:val="0"/>
        <w:autoSpaceDN w:val="0"/>
        <w:adjustRightInd w:val="0"/>
        <w:spacing w:after="0"/>
        <w:jc w:val="both"/>
        <w:rPr>
          <w:rFonts w:ascii="Times New Roman" w:hAnsi="Times New Roman" w:cs="Times New Roman"/>
        </w:rPr>
      </w:pPr>
      <w:r w:rsidRPr="00AD3092">
        <w:rPr>
          <w:rFonts w:ascii="Times New Roman" w:hAnsi="Times New Roman" w:cs="Times New Roman"/>
        </w:rPr>
        <w:t>The account remains ‘out of order’ if the outstanding balance remains continuously in excess of sanctioned limit / DP for more than 90 days and / or there are no credits continuously for 90 days as on the date of Balance Sheet or credits are not enough to cover the interest debited during the same period, in respect of Overdraft/Cash Credit (OD/CC).</w:t>
      </w:r>
    </w:p>
    <w:p w:rsidR="000B240E" w:rsidRPr="00AD3092" w:rsidRDefault="000B240E" w:rsidP="000B240E">
      <w:pPr>
        <w:numPr>
          <w:ilvl w:val="0"/>
          <w:numId w:val="1"/>
        </w:numPr>
        <w:autoSpaceDE w:val="0"/>
        <w:autoSpaceDN w:val="0"/>
        <w:adjustRightInd w:val="0"/>
        <w:spacing w:after="0"/>
        <w:jc w:val="both"/>
        <w:rPr>
          <w:rFonts w:ascii="Times New Roman" w:hAnsi="Times New Roman" w:cs="Times New Roman"/>
        </w:rPr>
      </w:pPr>
      <w:r w:rsidRPr="00AD3092">
        <w:rPr>
          <w:rFonts w:ascii="Times New Roman" w:hAnsi="Times New Roman" w:cs="Times New Roman"/>
        </w:rPr>
        <w:t>The bill remains overdue for a period of more than 90 days in the case of bills purchased and discounted.</w:t>
      </w:r>
    </w:p>
    <w:p w:rsidR="000B240E" w:rsidRPr="00AD3092" w:rsidRDefault="000B240E" w:rsidP="000B240E">
      <w:pPr>
        <w:numPr>
          <w:ilvl w:val="0"/>
          <w:numId w:val="1"/>
        </w:numPr>
        <w:autoSpaceDE w:val="0"/>
        <w:autoSpaceDN w:val="0"/>
        <w:adjustRightInd w:val="0"/>
        <w:spacing w:after="0"/>
        <w:jc w:val="both"/>
        <w:rPr>
          <w:rFonts w:ascii="Times New Roman" w:hAnsi="Times New Roman" w:cs="Times New Roman"/>
        </w:rPr>
      </w:pPr>
      <w:r w:rsidRPr="00AD3092">
        <w:rPr>
          <w:rFonts w:ascii="Times New Roman" w:hAnsi="Times New Roman" w:cs="Times New Roman"/>
        </w:rPr>
        <w:t>The installment of principal or interest thereon remains overdue for two crop seasons for short duration crops.</w:t>
      </w:r>
    </w:p>
    <w:p w:rsidR="000B240E" w:rsidRPr="00AD3092" w:rsidRDefault="000B240E" w:rsidP="000B240E">
      <w:pPr>
        <w:numPr>
          <w:ilvl w:val="0"/>
          <w:numId w:val="1"/>
        </w:numPr>
        <w:autoSpaceDE w:val="0"/>
        <w:autoSpaceDN w:val="0"/>
        <w:adjustRightInd w:val="0"/>
        <w:spacing w:after="0"/>
        <w:jc w:val="both"/>
        <w:rPr>
          <w:rFonts w:ascii="Times New Roman" w:hAnsi="Times New Roman" w:cs="Times New Roman"/>
        </w:rPr>
      </w:pPr>
      <w:r w:rsidRPr="00AD3092">
        <w:rPr>
          <w:rFonts w:ascii="Times New Roman" w:hAnsi="Times New Roman" w:cs="Times New Roman"/>
        </w:rPr>
        <w:t>The installment of principal or interest thereon remains overdue for one crop season for long duration crops.</w:t>
      </w:r>
    </w:p>
    <w:p w:rsidR="000B240E" w:rsidRPr="00AD3092" w:rsidRDefault="000B240E" w:rsidP="000B240E">
      <w:pPr>
        <w:numPr>
          <w:ilvl w:val="0"/>
          <w:numId w:val="1"/>
        </w:numPr>
        <w:autoSpaceDE w:val="0"/>
        <w:autoSpaceDN w:val="0"/>
        <w:adjustRightInd w:val="0"/>
        <w:spacing w:after="0"/>
        <w:jc w:val="both"/>
        <w:rPr>
          <w:rFonts w:ascii="Times New Roman" w:hAnsi="Times New Roman" w:cs="Times New Roman"/>
        </w:rPr>
      </w:pPr>
      <w:r w:rsidRPr="00AD3092">
        <w:rPr>
          <w:rFonts w:ascii="Times New Roman" w:hAnsi="Times New Roman" w:cs="Times New Roman"/>
        </w:rPr>
        <w:t>The amount of liquidity facility remains outstanding for more than 90 days, in respect of a securitization transaction undertaken in terms of guidelines on securitization dated May 7, 2012.</w:t>
      </w:r>
    </w:p>
    <w:p w:rsidR="000B240E" w:rsidRPr="00AD3092" w:rsidRDefault="000B240E" w:rsidP="000B240E">
      <w:pPr>
        <w:numPr>
          <w:ilvl w:val="0"/>
          <w:numId w:val="1"/>
        </w:numPr>
        <w:autoSpaceDE w:val="0"/>
        <w:autoSpaceDN w:val="0"/>
        <w:adjustRightInd w:val="0"/>
        <w:spacing w:after="0"/>
        <w:jc w:val="both"/>
        <w:rPr>
          <w:rFonts w:ascii="Times New Roman" w:hAnsi="Times New Roman" w:cs="Times New Roman"/>
        </w:rPr>
      </w:pPr>
      <w:r w:rsidRPr="00AD3092">
        <w:rPr>
          <w:rFonts w:ascii="Times New Roman" w:hAnsi="Times New Roman" w:cs="Times New Roman"/>
        </w:rPr>
        <w:lastRenderedPageBreak/>
        <w:t xml:space="preserve">In respect of derivative transactions, the overdue receivables representing positive mark-to-market value of a derivative contract, if these remains unpaid for a period of 90 days from the specified due date for repayment.   </w:t>
      </w:r>
    </w:p>
    <w:p w:rsidR="000B240E" w:rsidRPr="00AD3092" w:rsidRDefault="000B240E" w:rsidP="000B240E">
      <w:pPr>
        <w:spacing w:after="0"/>
        <w:jc w:val="both"/>
        <w:rPr>
          <w:rFonts w:ascii="Times New Roman" w:hAnsi="Times New Roman" w:cs="Times New Roman"/>
        </w:rPr>
      </w:pPr>
      <w:r w:rsidRPr="00AD3092">
        <w:rPr>
          <w:rFonts w:ascii="Times New Roman" w:hAnsi="Times New Roman" w:cs="Times New Roman"/>
          <w:b/>
        </w:rPr>
        <w:t xml:space="preserve">Out of Order </w:t>
      </w:r>
      <w:r w:rsidR="00052966" w:rsidRPr="00AD3092">
        <w:rPr>
          <w:rFonts w:ascii="Times New Roman" w:hAnsi="Times New Roman" w:cs="Times New Roman"/>
          <w:b/>
        </w:rPr>
        <w:t>means:</w:t>
      </w:r>
      <w:r w:rsidR="00D17E08">
        <w:rPr>
          <w:rFonts w:ascii="Times New Roman" w:hAnsi="Times New Roman" w:cs="Times New Roman"/>
          <w:b/>
        </w:rPr>
        <w:t xml:space="preserve"> </w:t>
      </w:r>
      <w:r w:rsidRPr="00AD3092">
        <w:rPr>
          <w:rFonts w:ascii="Times New Roman" w:hAnsi="Times New Roman" w:cs="Times New Roman"/>
        </w:rPr>
        <w:t>An account should be treated as 'out of order' if the outstanding balance remains continuously in excess of the sanctioned limit/drawing power. In cases where the outstanding balance in the principal operating account is less than the sanctioned limit/drawing power, but there are no credits continuously for 90 days as on the date of Balance Sheet or credits are not enough to cover the interest debited during the same period, these accounts should be treated as 'out of order'.</w:t>
      </w:r>
    </w:p>
    <w:p w:rsidR="00C657B1" w:rsidRPr="00AD3092" w:rsidRDefault="00C657B1" w:rsidP="000B240E">
      <w:pPr>
        <w:spacing w:after="0"/>
        <w:jc w:val="both"/>
        <w:rPr>
          <w:rFonts w:ascii="Times New Roman" w:hAnsi="Times New Roman" w:cs="Times New Roman"/>
        </w:rPr>
      </w:pPr>
    </w:p>
    <w:p w:rsidR="000B240E" w:rsidRPr="00AD3092" w:rsidRDefault="000B240E" w:rsidP="000B240E">
      <w:pPr>
        <w:spacing w:after="0"/>
        <w:jc w:val="both"/>
        <w:rPr>
          <w:rFonts w:ascii="Times New Roman" w:hAnsi="Times New Roman" w:cs="Times New Roman"/>
        </w:rPr>
      </w:pPr>
      <w:r w:rsidRPr="00AD3092">
        <w:rPr>
          <w:rFonts w:ascii="Times New Roman" w:hAnsi="Times New Roman" w:cs="Times New Roman"/>
        </w:rPr>
        <w:t xml:space="preserve">`Overdue’ mean any amount due to the Bank under any credit facility, if it is not paid on the due date fixed by the Bank. </w:t>
      </w:r>
    </w:p>
    <w:p w:rsidR="000B240E" w:rsidRPr="00AD3092" w:rsidRDefault="000B240E" w:rsidP="000B240E">
      <w:pPr>
        <w:spacing w:after="0"/>
        <w:jc w:val="both"/>
        <w:rPr>
          <w:rFonts w:ascii="Times New Roman" w:hAnsi="Times New Roman" w:cs="Times New Roman"/>
        </w:rPr>
      </w:pPr>
    </w:p>
    <w:p w:rsidR="0007498D" w:rsidRPr="00AD3092" w:rsidRDefault="000B240E" w:rsidP="000B240E">
      <w:pPr>
        <w:spacing w:after="0"/>
        <w:jc w:val="both"/>
        <w:rPr>
          <w:rFonts w:ascii="Times New Roman" w:hAnsi="Times New Roman" w:cs="Times New Roman"/>
        </w:rPr>
      </w:pPr>
      <w:r w:rsidRPr="00AD3092">
        <w:rPr>
          <w:rFonts w:ascii="Times New Roman" w:hAnsi="Times New Roman" w:cs="Times New Roman"/>
        </w:rPr>
        <w:t>In addition to above, an account may also be classified as NPA in terms of the following:</w:t>
      </w:r>
    </w:p>
    <w:p w:rsidR="000B240E" w:rsidRPr="00AD3092" w:rsidRDefault="0007498D" w:rsidP="000B240E">
      <w:pPr>
        <w:spacing w:after="0"/>
        <w:jc w:val="both"/>
        <w:rPr>
          <w:rFonts w:ascii="Times New Roman" w:hAnsi="Times New Roman" w:cs="Times New Roman"/>
        </w:rPr>
      </w:pPr>
      <w:r w:rsidRPr="00AD3092">
        <w:rPr>
          <w:rFonts w:ascii="Times New Roman" w:hAnsi="Times New Roman" w:cs="Times New Roman"/>
        </w:rPr>
        <w:t xml:space="preserve">Account with temporary deficiencies/irregularities (Refer RBI MC point 4.2.4) </w:t>
      </w:r>
    </w:p>
    <w:p w:rsidR="000B240E" w:rsidRPr="00AD3092" w:rsidRDefault="000B240E" w:rsidP="000B240E">
      <w:pPr>
        <w:spacing w:after="0"/>
        <w:jc w:val="both"/>
        <w:rPr>
          <w:rFonts w:ascii="Times New Roman" w:hAnsi="Times New Roman" w:cs="Times New Roman"/>
        </w:rPr>
      </w:pPr>
      <w:r w:rsidRPr="00AD3092">
        <w:rPr>
          <w:rFonts w:ascii="Times New Roman" w:hAnsi="Times New Roman" w:cs="Times New Roman"/>
        </w:rPr>
        <w:t>Where the interest charged during any quarter is not serviced fully within 90 days from the end of the quarter, the account is classified as Non-performing asset and ceases to generate income for the bank.</w:t>
      </w:r>
    </w:p>
    <w:p w:rsidR="000B240E" w:rsidRPr="00AD3092" w:rsidRDefault="000B240E" w:rsidP="000B240E">
      <w:pPr>
        <w:spacing w:after="0"/>
        <w:jc w:val="both"/>
        <w:rPr>
          <w:rFonts w:ascii="Times New Roman" w:hAnsi="Times New Roman" w:cs="Times New Roman"/>
        </w:rPr>
      </w:pPr>
    </w:p>
    <w:p w:rsidR="000B240E" w:rsidRPr="00AD3092" w:rsidRDefault="000B240E" w:rsidP="000B240E">
      <w:pPr>
        <w:spacing w:after="0"/>
        <w:jc w:val="both"/>
        <w:rPr>
          <w:rFonts w:ascii="Times New Roman" w:hAnsi="Times New Roman" w:cs="Times New Roman"/>
        </w:rPr>
      </w:pPr>
      <w:r w:rsidRPr="00AD3092">
        <w:rPr>
          <w:rFonts w:ascii="Times New Roman" w:hAnsi="Times New Roman" w:cs="Times New Roman"/>
        </w:rPr>
        <w:t>The classification of an asset as NPA should be based on the record of recovery. Bank should not classify an advance account as NPA merely due to the existence of some deficiencies which are temporary in nature such as non-availability of adequate drawing power based on the latest available stock statement, balance outstanding exceeding the limit temporarily, non-submission of stock statements and non-renewal of the limits on the due date, etc. In the matter of classification of accounts with such deficiencies banks may follow the following guidelines:</w:t>
      </w:r>
    </w:p>
    <w:p w:rsidR="000B240E" w:rsidRPr="00AD3092" w:rsidRDefault="000B240E" w:rsidP="000B240E">
      <w:pPr>
        <w:spacing w:after="0"/>
        <w:jc w:val="both"/>
        <w:rPr>
          <w:rFonts w:ascii="Times New Roman" w:hAnsi="Times New Roman" w:cs="Times New Roman"/>
        </w:rPr>
      </w:pPr>
    </w:p>
    <w:p w:rsidR="000B240E" w:rsidRPr="00AD3092" w:rsidRDefault="000B240E" w:rsidP="000B240E">
      <w:pPr>
        <w:spacing w:after="0"/>
        <w:jc w:val="both"/>
        <w:rPr>
          <w:rFonts w:ascii="Times New Roman" w:hAnsi="Times New Roman" w:cs="Times New Roman"/>
        </w:rPr>
      </w:pPr>
      <w:r w:rsidRPr="00AD3092">
        <w:rPr>
          <w:rFonts w:ascii="Times New Roman" w:hAnsi="Times New Roman" w:cs="Times New Roman"/>
        </w:rPr>
        <w:t>i) Banks should ensure that drawings in the working capital accounts are covered by the adequacy of current assets, since current assets are first appropriated in times of distress. Drawing power is required to be arrived at based on the stock statement which is current. However, considering the difficulties of large borrowers, stock statements relied upon by the banks for determining drawing power should not be older than three months. The outstanding in the account based on drawing power calculated from stock statements older than three months, would be deemed as irregular.</w:t>
      </w:r>
    </w:p>
    <w:p w:rsidR="000B240E" w:rsidRPr="00AD3092" w:rsidRDefault="000B240E" w:rsidP="000B240E">
      <w:pPr>
        <w:spacing w:after="0"/>
        <w:jc w:val="both"/>
        <w:rPr>
          <w:rFonts w:ascii="Times New Roman" w:hAnsi="Times New Roman" w:cs="Times New Roman"/>
        </w:rPr>
      </w:pPr>
      <w:r w:rsidRPr="00AD3092">
        <w:rPr>
          <w:rFonts w:ascii="Times New Roman" w:hAnsi="Times New Roman" w:cs="Times New Roman"/>
        </w:rPr>
        <w:t xml:space="preserve">A working capital </w:t>
      </w:r>
      <w:proofErr w:type="spellStart"/>
      <w:r w:rsidRPr="00AD3092">
        <w:rPr>
          <w:rFonts w:ascii="Times New Roman" w:hAnsi="Times New Roman" w:cs="Times New Roman"/>
        </w:rPr>
        <w:t>borrowal</w:t>
      </w:r>
      <w:proofErr w:type="spellEnd"/>
      <w:r w:rsidRPr="00AD3092">
        <w:rPr>
          <w:rFonts w:ascii="Times New Roman" w:hAnsi="Times New Roman" w:cs="Times New Roman"/>
        </w:rPr>
        <w:t xml:space="preserve"> account will become NPA if such irregular drawings are permitted in the account for a continuous period of 90 days even though the unit may be working or the borrower's financial position is satisfactory.</w:t>
      </w:r>
    </w:p>
    <w:p w:rsidR="000B240E" w:rsidRPr="00AD3092" w:rsidRDefault="000B240E" w:rsidP="000B240E">
      <w:pPr>
        <w:spacing w:after="0"/>
        <w:jc w:val="both"/>
        <w:rPr>
          <w:rFonts w:ascii="Times New Roman" w:hAnsi="Times New Roman" w:cs="Times New Roman"/>
        </w:rPr>
      </w:pPr>
    </w:p>
    <w:p w:rsidR="00ED1104" w:rsidRPr="00AD3092" w:rsidRDefault="000B240E" w:rsidP="00397A6E">
      <w:pPr>
        <w:spacing w:after="0"/>
        <w:jc w:val="both"/>
        <w:rPr>
          <w:rFonts w:ascii="Times New Roman" w:hAnsi="Times New Roman" w:cs="Times New Roman"/>
        </w:rPr>
      </w:pPr>
      <w:r w:rsidRPr="00AD3092">
        <w:rPr>
          <w:rFonts w:ascii="Times New Roman" w:hAnsi="Times New Roman" w:cs="Times New Roman"/>
        </w:rPr>
        <w:t xml:space="preserve">ii) Regular and ad hoc credit limits need to be reviewed/ </w:t>
      </w:r>
      <w:proofErr w:type="spellStart"/>
      <w:r w:rsidRPr="00AD3092">
        <w:rPr>
          <w:rFonts w:ascii="Times New Roman" w:hAnsi="Times New Roman" w:cs="Times New Roman"/>
        </w:rPr>
        <w:t>regularised</w:t>
      </w:r>
      <w:proofErr w:type="spellEnd"/>
      <w:r w:rsidRPr="00AD3092">
        <w:rPr>
          <w:rFonts w:ascii="Times New Roman" w:hAnsi="Times New Roman" w:cs="Times New Roman"/>
        </w:rPr>
        <w:t xml:space="preserve"> not later than three months from the due date/date of ad hoc sanction. In case of constraints such as non-availability of financial statements and other data from the borrowers, the branch should furnish evidence to show that renewal/ review of credit limits is already on and would be completed soon. In any case, delay beyond six months is not considered desirable as a general discipline. Hence, an account where the regular/ ad hoc credit limits have not been reviewed/ renewed within 180 days from the due date/ date of ad hoc sanction will be treated as NPA.</w:t>
      </w:r>
    </w:p>
    <w:p w:rsidR="00397A6E" w:rsidRPr="00AD3092" w:rsidRDefault="000B240E" w:rsidP="00397A6E">
      <w:pPr>
        <w:spacing w:after="0"/>
        <w:jc w:val="both"/>
        <w:rPr>
          <w:rFonts w:ascii="Times New Roman" w:hAnsi="Times New Roman" w:cs="Times New Roman"/>
        </w:rPr>
      </w:pPr>
      <w:r w:rsidRPr="00AD3092">
        <w:rPr>
          <w:rFonts w:ascii="Times New Roman" w:hAnsi="Times New Roman" w:cs="Times New Roman"/>
        </w:rPr>
        <w:t xml:space="preserve">Besides above, Bank also follows the guidelines issued by RBI in respect of classification of assets under  a) Restructured accounts, b) Project under implementation involving time overrun, c) Post shipment Suppliers’ Credit. d) Export Project Finance, e) Take over Finance, f) Govt. guaranteed Advance, g) Advance under Rehabilitation approved by BFIR / TLI, h) Advances under Debt Waiver &amp; Debt Relief Scheme 2009, i) Sale of Financial Assets to Securitization Company /Reconstruction Company, j) Purchase/ </w:t>
      </w:r>
      <w:r w:rsidRPr="00AD3092">
        <w:rPr>
          <w:rFonts w:ascii="Times New Roman" w:hAnsi="Times New Roman" w:cs="Times New Roman"/>
        </w:rPr>
        <w:lastRenderedPageBreak/>
        <w:t xml:space="preserve">Sale of Non-Performing Financial Assets, k)  Up-gradation of accounts, l) Accounts regularized near about the Balance Sheet date etc. </w:t>
      </w:r>
    </w:p>
    <w:p w:rsidR="00191B4A" w:rsidRPr="003E4D88" w:rsidRDefault="00191B4A" w:rsidP="00191B4A">
      <w:pPr>
        <w:widowControl w:val="0"/>
        <w:autoSpaceDE w:val="0"/>
        <w:autoSpaceDN w:val="0"/>
        <w:adjustRightInd w:val="0"/>
        <w:spacing w:after="0"/>
        <w:jc w:val="both"/>
        <w:rPr>
          <w:rFonts w:ascii="Times New Roman" w:hAnsi="Times New Roman" w:cs="Times New Roman"/>
          <w:b/>
        </w:rPr>
      </w:pPr>
      <w:r w:rsidRPr="003E4D88">
        <w:rPr>
          <w:rFonts w:ascii="Times New Roman" w:hAnsi="Times New Roman" w:cs="Times New Roman"/>
          <w:b/>
        </w:rPr>
        <w:t>B. CREDIT RISK MANAGEMENT AND OBJECTIVES:</w:t>
      </w:r>
    </w:p>
    <w:p w:rsidR="00191B4A" w:rsidRPr="003E4D88" w:rsidRDefault="00191B4A" w:rsidP="00191B4A">
      <w:pPr>
        <w:widowControl w:val="0"/>
        <w:autoSpaceDE w:val="0"/>
        <w:autoSpaceDN w:val="0"/>
        <w:adjustRightInd w:val="0"/>
        <w:spacing w:after="0"/>
        <w:jc w:val="both"/>
        <w:rPr>
          <w:rFonts w:ascii="Times New Roman" w:hAnsi="Times New Roman" w:cs="Times New Roman"/>
          <w:sz w:val="16"/>
          <w:szCs w:val="16"/>
        </w:rPr>
      </w:pPr>
    </w:p>
    <w:p w:rsidR="000B240E" w:rsidRPr="003E4D88" w:rsidRDefault="000B240E" w:rsidP="000B240E">
      <w:pPr>
        <w:widowControl w:val="0"/>
        <w:autoSpaceDE w:val="0"/>
        <w:autoSpaceDN w:val="0"/>
        <w:adjustRightInd w:val="0"/>
        <w:spacing w:after="0"/>
        <w:jc w:val="both"/>
        <w:rPr>
          <w:rFonts w:ascii="Times New Roman" w:hAnsi="Times New Roman" w:cs="Times New Roman"/>
        </w:rPr>
      </w:pPr>
      <w:r w:rsidRPr="003E4D88">
        <w:rPr>
          <w:rFonts w:ascii="Times New Roman" w:hAnsi="Times New Roman" w:cs="Times New Roman"/>
        </w:rPr>
        <w:t>The main objective of Credit Risk Management Department is to effectively identify, assess, measure, and manage the credit risk exposure of the Bank, with a view to contain it within desired limits in relation to the risk appetite of the Bank and commensurate with the availability of Capital. In doing so, the Bank's Credit Risk philosophy aims at minimizing risk and maintaining it within the levels which shall ensure safety of the Bank's financial resources, including stakeholders' equity and, at the same time, also ensure a steady and healthy financial growth.</w:t>
      </w:r>
    </w:p>
    <w:p w:rsidR="00191B4A" w:rsidRPr="003E4D88" w:rsidRDefault="00191B4A" w:rsidP="00191B4A">
      <w:pPr>
        <w:widowControl w:val="0"/>
        <w:autoSpaceDE w:val="0"/>
        <w:autoSpaceDN w:val="0"/>
        <w:adjustRightInd w:val="0"/>
        <w:spacing w:after="0"/>
        <w:jc w:val="both"/>
        <w:rPr>
          <w:rFonts w:ascii="Times New Roman" w:hAnsi="Times New Roman" w:cs="Times New Roman"/>
          <w:sz w:val="16"/>
          <w:szCs w:val="16"/>
        </w:rPr>
      </w:pPr>
    </w:p>
    <w:p w:rsidR="00191B4A" w:rsidRPr="003E4D88" w:rsidRDefault="00191B4A" w:rsidP="00191B4A">
      <w:pPr>
        <w:widowControl w:val="0"/>
        <w:autoSpaceDE w:val="0"/>
        <w:autoSpaceDN w:val="0"/>
        <w:adjustRightInd w:val="0"/>
        <w:spacing w:after="0"/>
        <w:jc w:val="both"/>
        <w:rPr>
          <w:rFonts w:ascii="Times New Roman" w:hAnsi="Times New Roman" w:cs="Times New Roman"/>
          <w:b/>
          <w:u w:val="single"/>
        </w:rPr>
      </w:pPr>
      <w:r w:rsidRPr="003E4D88">
        <w:rPr>
          <w:rFonts w:ascii="Times New Roman" w:hAnsi="Times New Roman" w:cs="Times New Roman"/>
          <w:b/>
          <w:u w:val="single"/>
        </w:rPr>
        <w:t>STRATEGIC POLICY OF THE BANK - CREDIT RISK:</w:t>
      </w:r>
    </w:p>
    <w:p w:rsidR="00191B4A" w:rsidRPr="003E4D88" w:rsidRDefault="00191B4A" w:rsidP="00191B4A">
      <w:pPr>
        <w:widowControl w:val="0"/>
        <w:autoSpaceDE w:val="0"/>
        <w:autoSpaceDN w:val="0"/>
        <w:adjustRightInd w:val="0"/>
        <w:spacing w:after="0"/>
        <w:jc w:val="both"/>
        <w:rPr>
          <w:rFonts w:ascii="Times New Roman" w:hAnsi="Times New Roman" w:cs="Times New Roman"/>
          <w:sz w:val="16"/>
          <w:szCs w:val="16"/>
        </w:rPr>
      </w:pPr>
    </w:p>
    <w:p w:rsidR="000B240E" w:rsidRPr="003E4D88" w:rsidRDefault="000B240E" w:rsidP="000B240E">
      <w:pPr>
        <w:widowControl w:val="0"/>
        <w:autoSpaceDE w:val="0"/>
        <w:autoSpaceDN w:val="0"/>
        <w:adjustRightInd w:val="0"/>
        <w:spacing w:after="0"/>
        <w:jc w:val="both"/>
        <w:rPr>
          <w:rFonts w:ascii="Times New Roman" w:hAnsi="Times New Roman" w:cs="Times New Roman"/>
        </w:rPr>
      </w:pPr>
      <w:r w:rsidRPr="003E4D88">
        <w:rPr>
          <w:rFonts w:ascii="Times New Roman" w:hAnsi="Times New Roman" w:cs="Times New Roman"/>
        </w:rPr>
        <w:t>The Bank has a comprehensive and well defined Loan Policy which covers various aspects of strategic planning. The loan policy of the Bank is reviewed from time to time, depending on requirements of the changes in loan portfolio and general economic and market scenario. The loan policy is also subjected to a comprehensive review by the Board at least once a year. The loan policy of the Bank addresses, among other things:</w:t>
      </w:r>
    </w:p>
    <w:p w:rsidR="000B240E" w:rsidRPr="00462A3D" w:rsidRDefault="000B240E" w:rsidP="000B240E">
      <w:pPr>
        <w:widowControl w:val="0"/>
        <w:autoSpaceDE w:val="0"/>
        <w:autoSpaceDN w:val="0"/>
        <w:adjustRightInd w:val="0"/>
        <w:spacing w:after="0"/>
        <w:jc w:val="both"/>
        <w:rPr>
          <w:rFonts w:ascii="Times New Roman" w:hAnsi="Times New Roman" w:cs="Times New Roman"/>
          <w:sz w:val="6"/>
          <w:szCs w:val="6"/>
        </w:rPr>
      </w:pPr>
    </w:p>
    <w:p w:rsidR="000B240E" w:rsidRPr="003E4D88" w:rsidRDefault="000B240E" w:rsidP="000B240E">
      <w:pPr>
        <w:widowControl w:val="0"/>
        <w:numPr>
          <w:ilvl w:val="0"/>
          <w:numId w:val="2"/>
        </w:numPr>
        <w:autoSpaceDE w:val="0"/>
        <w:autoSpaceDN w:val="0"/>
        <w:adjustRightInd w:val="0"/>
        <w:spacing w:after="0"/>
        <w:jc w:val="both"/>
        <w:rPr>
          <w:rFonts w:ascii="Times New Roman" w:hAnsi="Times New Roman" w:cs="Times New Roman"/>
        </w:rPr>
      </w:pPr>
      <w:r w:rsidRPr="003E4D88">
        <w:rPr>
          <w:rFonts w:ascii="Times New Roman" w:hAnsi="Times New Roman" w:cs="Times New Roman"/>
        </w:rPr>
        <w:t>Exposure ceilings and prudential caps in different industry segments and borrower categories.</w:t>
      </w:r>
    </w:p>
    <w:p w:rsidR="000B240E" w:rsidRPr="003E4D88" w:rsidRDefault="000B240E" w:rsidP="000B240E">
      <w:pPr>
        <w:widowControl w:val="0"/>
        <w:numPr>
          <w:ilvl w:val="0"/>
          <w:numId w:val="2"/>
        </w:numPr>
        <w:autoSpaceDE w:val="0"/>
        <w:autoSpaceDN w:val="0"/>
        <w:adjustRightInd w:val="0"/>
        <w:spacing w:after="0"/>
        <w:jc w:val="both"/>
        <w:rPr>
          <w:rFonts w:ascii="Times New Roman" w:hAnsi="Times New Roman" w:cs="Times New Roman"/>
        </w:rPr>
      </w:pPr>
      <w:r w:rsidRPr="003E4D88">
        <w:rPr>
          <w:rFonts w:ascii="Times New Roman" w:hAnsi="Times New Roman" w:cs="Times New Roman"/>
        </w:rPr>
        <w:t>Pricing based on risk profile linked to credit ratings and/or retail segments.</w:t>
      </w:r>
    </w:p>
    <w:p w:rsidR="000B240E" w:rsidRPr="003E4D88" w:rsidRDefault="000B240E" w:rsidP="000B240E">
      <w:pPr>
        <w:widowControl w:val="0"/>
        <w:numPr>
          <w:ilvl w:val="0"/>
          <w:numId w:val="2"/>
        </w:numPr>
        <w:autoSpaceDE w:val="0"/>
        <w:autoSpaceDN w:val="0"/>
        <w:adjustRightInd w:val="0"/>
        <w:spacing w:after="0"/>
        <w:jc w:val="both"/>
        <w:rPr>
          <w:rFonts w:ascii="Times New Roman" w:hAnsi="Times New Roman" w:cs="Times New Roman"/>
        </w:rPr>
      </w:pPr>
      <w:r w:rsidRPr="003E4D88">
        <w:rPr>
          <w:rFonts w:ascii="Times New Roman" w:hAnsi="Times New Roman" w:cs="Times New Roman"/>
        </w:rPr>
        <w:t>Guidelines relating to procedures and systems for appraisal, sanction, and monitoring of loans and modes of dispensation of credit.</w:t>
      </w:r>
    </w:p>
    <w:p w:rsidR="000B240E" w:rsidRPr="003E4D88" w:rsidRDefault="000B240E" w:rsidP="000B240E">
      <w:pPr>
        <w:widowControl w:val="0"/>
        <w:numPr>
          <w:ilvl w:val="0"/>
          <w:numId w:val="2"/>
        </w:numPr>
        <w:autoSpaceDE w:val="0"/>
        <w:autoSpaceDN w:val="0"/>
        <w:adjustRightInd w:val="0"/>
        <w:spacing w:after="0"/>
        <w:jc w:val="both"/>
        <w:rPr>
          <w:rFonts w:ascii="Times New Roman" w:hAnsi="Times New Roman" w:cs="Times New Roman"/>
        </w:rPr>
      </w:pPr>
      <w:r w:rsidRPr="003E4D88">
        <w:rPr>
          <w:rFonts w:ascii="Times New Roman" w:hAnsi="Times New Roman" w:cs="Times New Roman"/>
        </w:rPr>
        <w:t>Credit Rating framework.</w:t>
      </w:r>
    </w:p>
    <w:p w:rsidR="000B240E" w:rsidRPr="003E4D88" w:rsidRDefault="000B240E" w:rsidP="000B240E">
      <w:pPr>
        <w:widowControl w:val="0"/>
        <w:numPr>
          <w:ilvl w:val="0"/>
          <w:numId w:val="2"/>
        </w:numPr>
        <w:autoSpaceDE w:val="0"/>
        <w:autoSpaceDN w:val="0"/>
        <w:adjustRightInd w:val="0"/>
        <w:spacing w:after="0"/>
        <w:jc w:val="both"/>
        <w:rPr>
          <w:rFonts w:ascii="Times New Roman" w:hAnsi="Times New Roman" w:cs="Times New Roman"/>
        </w:rPr>
      </w:pPr>
      <w:r w:rsidRPr="003E4D88">
        <w:rPr>
          <w:rFonts w:ascii="Times New Roman" w:hAnsi="Times New Roman" w:cs="Times New Roman"/>
        </w:rPr>
        <w:t>Inspection mechanism and compliance of regulatory and policy guidelines.</w:t>
      </w:r>
    </w:p>
    <w:p w:rsidR="00191B4A" w:rsidRPr="005434A5" w:rsidRDefault="00191B4A" w:rsidP="00191B4A">
      <w:pPr>
        <w:widowControl w:val="0"/>
        <w:autoSpaceDE w:val="0"/>
        <w:autoSpaceDN w:val="0"/>
        <w:adjustRightInd w:val="0"/>
        <w:spacing w:after="0"/>
        <w:jc w:val="both"/>
        <w:rPr>
          <w:rFonts w:ascii="Times New Roman" w:hAnsi="Times New Roman" w:cs="Times New Roman"/>
          <w:sz w:val="16"/>
          <w:szCs w:val="16"/>
          <w:highlight w:val="yellow"/>
        </w:rPr>
      </w:pPr>
    </w:p>
    <w:p w:rsidR="00191B4A" w:rsidRPr="003E4D88" w:rsidRDefault="00191B4A" w:rsidP="00191B4A">
      <w:pPr>
        <w:widowControl w:val="0"/>
        <w:autoSpaceDE w:val="0"/>
        <w:autoSpaceDN w:val="0"/>
        <w:adjustRightInd w:val="0"/>
        <w:spacing w:after="0"/>
        <w:jc w:val="both"/>
        <w:rPr>
          <w:rFonts w:ascii="Times New Roman" w:hAnsi="Times New Roman" w:cs="Times New Roman"/>
          <w:u w:val="single"/>
        </w:rPr>
      </w:pPr>
      <w:r w:rsidRPr="003E4D88">
        <w:rPr>
          <w:rFonts w:ascii="Times New Roman" w:hAnsi="Times New Roman" w:cs="Times New Roman"/>
          <w:b/>
          <w:u w:val="single"/>
        </w:rPr>
        <w:t>CREDIT RISK MANAGEMENT ARCHITECTURE</w:t>
      </w:r>
      <w:r w:rsidRPr="003E4D88">
        <w:rPr>
          <w:rFonts w:ascii="Times New Roman" w:hAnsi="Times New Roman" w:cs="Times New Roman"/>
          <w:u w:val="single"/>
        </w:rPr>
        <w:t>:</w:t>
      </w:r>
    </w:p>
    <w:p w:rsidR="00191B4A" w:rsidRPr="003E4D88" w:rsidRDefault="00191B4A" w:rsidP="00191B4A">
      <w:pPr>
        <w:widowControl w:val="0"/>
        <w:autoSpaceDE w:val="0"/>
        <w:autoSpaceDN w:val="0"/>
        <w:adjustRightInd w:val="0"/>
        <w:spacing w:after="0"/>
        <w:ind w:left="720"/>
        <w:jc w:val="both"/>
        <w:rPr>
          <w:rFonts w:ascii="Times New Roman" w:hAnsi="Times New Roman" w:cs="Times New Roman"/>
          <w:sz w:val="16"/>
          <w:szCs w:val="16"/>
        </w:rPr>
      </w:pPr>
    </w:p>
    <w:p w:rsidR="00F51B1F" w:rsidRPr="003E4D88" w:rsidRDefault="00F51B1F" w:rsidP="00F51B1F">
      <w:pPr>
        <w:widowControl w:val="0"/>
        <w:numPr>
          <w:ilvl w:val="0"/>
          <w:numId w:val="3"/>
        </w:numPr>
        <w:autoSpaceDE w:val="0"/>
        <w:autoSpaceDN w:val="0"/>
        <w:adjustRightInd w:val="0"/>
        <w:spacing w:after="0"/>
        <w:jc w:val="both"/>
        <w:rPr>
          <w:rFonts w:ascii="Times New Roman" w:hAnsi="Times New Roman" w:cs="Times New Roman"/>
        </w:rPr>
      </w:pPr>
      <w:r w:rsidRPr="003E4D88">
        <w:rPr>
          <w:rFonts w:ascii="Times New Roman" w:hAnsi="Times New Roman" w:cs="Times New Roman"/>
        </w:rPr>
        <w:t xml:space="preserve">The organizational structure of the Bank for Credit Risk Management function has the Board of Directors at the Apex level that has the overall oversight of management of risks. </w:t>
      </w:r>
    </w:p>
    <w:p w:rsidR="00F94EB9" w:rsidRPr="003E4D88" w:rsidRDefault="00F94EB9" w:rsidP="00F94EB9">
      <w:pPr>
        <w:widowControl w:val="0"/>
        <w:autoSpaceDE w:val="0"/>
        <w:autoSpaceDN w:val="0"/>
        <w:adjustRightInd w:val="0"/>
        <w:spacing w:after="0"/>
        <w:ind w:left="720"/>
        <w:jc w:val="both"/>
        <w:rPr>
          <w:rFonts w:ascii="Times New Roman" w:hAnsi="Times New Roman" w:cs="Times New Roman"/>
        </w:rPr>
      </w:pPr>
    </w:p>
    <w:p w:rsidR="00F51B1F" w:rsidRPr="003E4D88" w:rsidRDefault="00F51B1F" w:rsidP="00F51B1F">
      <w:pPr>
        <w:widowControl w:val="0"/>
        <w:numPr>
          <w:ilvl w:val="0"/>
          <w:numId w:val="3"/>
        </w:numPr>
        <w:autoSpaceDE w:val="0"/>
        <w:autoSpaceDN w:val="0"/>
        <w:adjustRightInd w:val="0"/>
        <w:spacing w:after="0"/>
        <w:jc w:val="both"/>
        <w:rPr>
          <w:rFonts w:ascii="Times New Roman" w:hAnsi="Times New Roman" w:cs="Times New Roman"/>
        </w:rPr>
      </w:pPr>
      <w:r w:rsidRPr="003E4D88">
        <w:rPr>
          <w:rFonts w:ascii="Times New Roman" w:hAnsi="Times New Roman" w:cs="Times New Roman"/>
        </w:rPr>
        <w:t xml:space="preserve">The Risk Management Committee (RMC) which is the sub-committee of the Board headed by the </w:t>
      </w:r>
      <w:r w:rsidR="002A7ADE">
        <w:rPr>
          <w:rFonts w:ascii="Times New Roman" w:hAnsi="Times New Roman" w:cs="Times New Roman"/>
        </w:rPr>
        <w:t>Chairman</w:t>
      </w:r>
      <w:r w:rsidRPr="003E4D88">
        <w:rPr>
          <w:rFonts w:ascii="Times New Roman" w:hAnsi="Times New Roman" w:cs="Times New Roman"/>
        </w:rPr>
        <w:t xml:space="preserve"> devises the policy and strategy for integrated risk management including credit risk. </w:t>
      </w:r>
    </w:p>
    <w:p w:rsidR="00F94EB9" w:rsidRPr="003E4D88" w:rsidRDefault="00F94EB9" w:rsidP="00F94EB9">
      <w:pPr>
        <w:widowControl w:val="0"/>
        <w:autoSpaceDE w:val="0"/>
        <w:autoSpaceDN w:val="0"/>
        <w:adjustRightInd w:val="0"/>
        <w:spacing w:after="0"/>
        <w:jc w:val="both"/>
        <w:rPr>
          <w:rFonts w:ascii="Times New Roman" w:hAnsi="Times New Roman" w:cs="Times New Roman"/>
        </w:rPr>
      </w:pPr>
    </w:p>
    <w:p w:rsidR="008A3923" w:rsidRPr="003E4D88" w:rsidRDefault="00F51B1F" w:rsidP="00A80BA9">
      <w:pPr>
        <w:widowControl w:val="0"/>
        <w:numPr>
          <w:ilvl w:val="0"/>
          <w:numId w:val="3"/>
        </w:numPr>
        <w:autoSpaceDE w:val="0"/>
        <w:autoSpaceDN w:val="0"/>
        <w:adjustRightInd w:val="0"/>
        <w:spacing w:after="0"/>
        <w:jc w:val="both"/>
        <w:rPr>
          <w:rFonts w:ascii="Times New Roman" w:hAnsi="Times New Roman" w:cs="Times New Roman"/>
          <w:u w:val="single"/>
        </w:rPr>
      </w:pPr>
      <w:r w:rsidRPr="003E4D88">
        <w:rPr>
          <w:rFonts w:ascii="Times New Roman" w:hAnsi="Times New Roman" w:cs="Times New Roman"/>
        </w:rPr>
        <w:t xml:space="preserve">At the operational level, the Credit Risk Management Committee (CRMC) manages the credit risk. The main function includes implementation of credit risk management policies approved by the Board, monitoring credit risk on a bank wide basis, recommending to the board for its approval all policies relating to credit risk management, prudential limits on credit exposures, portfolio management, loan products etc. There is a structured and standardized credit approval process including a comprehensive credit appraisal procedure. In order to assess the credit risk associated with any financing proposal, the Bank assesses a variety of risks relating to the borrower and the relevant industry. </w:t>
      </w:r>
    </w:p>
    <w:p w:rsidR="00F51B1F" w:rsidRPr="003E4D88" w:rsidRDefault="00F51B1F" w:rsidP="00F51B1F">
      <w:pPr>
        <w:widowControl w:val="0"/>
        <w:numPr>
          <w:ilvl w:val="0"/>
          <w:numId w:val="3"/>
        </w:numPr>
        <w:autoSpaceDE w:val="0"/>
        <w:autoSpaceDN w:val="0"/>
        <w:adjustRightInd w:val="0"/>
        <w:spacing w:after="0"/>
        <w:jc w:val="both"/>
        <w:rPr>
          <w:rFonts w:ascii="Times New Roman" w:hAnsi="Times New Roman" w:cs="Times New Roman"/>
        </w:rPr>
      </w:pPr>
      <w:r w:rsidRPr="003E4D88">
        <w:rPr>
          <w:rFonts w:ascii="Times New Roman" w:hAnsi="Times New Roman" w:cs="Times New Roman"/>
        </w:rPr>
        <w:t xml:space="preserve">The Risk Management Department (RMD) headed by the </w:t>
      </w:r>
      <w:r w:rsidR="00D17E08">
        <w:rPr>
          <w:rFonts w:ascii="Times New Roman" w:hAnsi="Times New Roman" w:cs="Times New Roman"/>
        </w:rPr>
        <w:t xml:space="preserve">Deputy </w:t>
      </w:r>
      <w:r w:rsidRPr="003E4D88">
        <w:rPr>
          <w:rFonts w:ascii="Times New Roman" w:hAnsi="Times New Roman" w:cs="Times New Roman"/>
        </w:rPr>
        <w:t>General Man</w:t>
      </w:r>
      <w:r w:rsidR="00D17E08">
        <w:rPr>
          <w:rFonts w:ascii="Times New Roman" w:hAnsi="Times New Roman" w:cs="Times New Roman"/>
        </w:rPr>
        <w:t>a</w:t>
      </w:r>
      <w:r w:rsidRPr="003E4D88">
        <w:rPr>
          <w:rFonts w:ascii="Times New Roman" w:hAnsi="Times New Roman" w:cs="Times New Roman"/>
        </w:rPr>
        <w:t>ger, measures, controls and manages credit risk on bank wide basis within the limits set by the Board and enforces compliance with risk parameters set by</w:t>
      </w:r>
      <w:r w:rsidR="00D17E08">
        <w:rPr>
          <w:rFonts w:ascii="Times New Roman" w:hAnsi="Times New Roman" w:cs="Times New Roman"/>
        </w:rPr>
        <w:t xml:space="preserve"> the</w:t>
      </w:r>
      <w:r w:rsidRPr="003E4D88">
        <w:rPr>
          <w:rFonts w:ascii="Times New Roman" w:hAnsi="Times New Roman" w:cs="Times New Roman"/>
        </w:rPr>
        <w:t xml:space="preserve"> Board/RMC/CRMC. The RMD is duly supported by Credit Risk Management Cell, Market Risk Management Cell and Operations Risk Management Cell. </w:t>
      </w:r>
    </w:p>
    <w:p w:rsidR="003848CC" w:rsidRPr="003E4D88" w:rsidRDefault="00F51B1F" w:rsidP="00685CC1">
      <w:pPr>
        <w:widowControl w:val="0"/>
        <w:numPr>
          <w:ilvl w:val="0"/>
          <w:numId w:val="3"/>
        </w:numPr>
        <w:autoSpaceDE w:val="0"/>
        <w:autoSpaceDN w:val="0"/>
        <w:adjustRightInd w:val="0"/>
        <w:spacing w:after="0"/>
        <w:jc w:val="both"/>
        <w:rPr>
          <w:rFonts w:ascii="Times New Roman" w:hAnsi="Times New Roman" w:cs="Times New Roman"/>
        </w:rPr>
      </w:pPr>
      <w:r w:rsidRPr="003E4D88">
        <w:rPr>
          <w:rFonts w:ascii="Times New Roman" w:hAnsi="Times New Roman" w:cs="Times New Roman"/>
        </w:rPr>
        <w:lastRenderedPageBreak/>
        <w:t>The Inspection Department as well as Credit Monitoring Department headed by a General Manager</w:t>
      </w:r>
      <w:r w:rsidR="00831D08">
        <w:rPr>
          <w:rFonts w:ascii="Times New Roman" w:hAnsi="Times New Roman" w:cs="Times New Roman"/>
        </w:rPr>
        <w:t xml:space="preserve"> / Deputy General Manager</w:t>
      </w:r>
      <w:r w:rsidRPr="003E4D88">
        <w:rPr>
          <w:rFonts w:ascii="Times New Roman" w:hAnsi="Times New Roman" w:cs="Times New Roman"/>
        </w:rPr>
        <w:t xml:space="preserve"> monitor the quality of loan portfolio identifies problems and takes steps to correct deficiencies. Loan review / credit audit is undertaken by the Credit Audit function.</w:t>
      </w:r>
    </w:p>
    <w:p w:rsidR="00BD5579" w:rsidRPr="005434A5" w:rsidRDefault="00BD5579" w:rsidP="00191B4A">
      <w:pPr>
        <w:autoSpaceDE w:val="0"/>
        <w:autoSpaceDN w:val="0"/>
        <w:adjustRightInd w:val="0"/>
        <w:spacing w:after="0"/>
        <w:jc w:val="both"/>
        <w:rPr>
          <w:rFonts w:ascii="Times New Roman" w:hAnsi="Times New Roman" w:cs="Times New Roman"/>
          <w:b/>
          <w:bCs/>
          <w:highlight w:val="yellow"/>
          <w:u w:val="single"/>
        </w:rPr>
      </w:pPr>
    </w:p>
    <w:p w:rsidR="00191B4A" w:rsidRPr="003E4D88" w:rsidRDefault="00191B4A" w:rsidP="00191B4A">
      <w:pPr>
        <w:autoSpaceDE w:val="0"/>
        <w:autoSpaceDN w:val="0"/>
        <w:adjustRightInd w:val="0"/>
        <w:spacing w:after="0"/>
        <w:jc w:val="both"/>
        <w:rPr>
          <w:rFonts w:ascii="Times New Roman" w:hAnsi="Times New Roman" w:cs="Times New Roman"/>
          <w:b/>
          <w:bCs/>
          <w:u w:val="single"/>
        </w:rPr>
      </w:pPr>
      <w:r w:rsidRPr="003E4D88">
        <w:rPr>
          <w:rFonts w:ascii="Times New Roman" w:hAnsi="Times New Roman" w:cs="Times New Roman"/>
          <w:b/>
          <w:bCs/>
          <w:u w:val="single"/>
        </w:rPr>
        <w:t xml:space="preserve">TOOLS USED FOR CREDIT RISK MANAGEMENT / MITIGATION </w:t>
      </w:r>
    </w:p>
    <w:p w:rsidR="0099034E" w:rsidRPr="003E4D88" w:rsidRDefault="0099034E" w:rsidP="00191B4A">
      <w:pPr>
        <w:autoSpaceDE w:val="0"/>
        <w:autoSpaceDN w:val="0"/>
        <w:adjustRightInd w:val="0"/>
        <w:spacing w:after="0"/>
        <w:jc w:val="both"/>
        <w:rPr>
          <w:rFonts w:ascii="Times New Roman" w:hAnsi="Times New Roman" w:cs="Times New Roman"/>
          <w:b/>
          <w:bCs/>
        </w:rPr>
      </w:pPr>
    </w:p>
    <w:p w:rsidR="00F51B1F" w:rsidRPr="003E4D88" w:rsidRDefault="00F51B1F" w:rsidP="00F51B1F">
      <w:pPr>
        <w:numPr>
          <w:ilvl w:val="0"/>
          <w:numId w:val="13"/>
        </w:numPr>
        <w:autoSpaceDE w:val="0"/>
        <w:autoSpaceDN w:val="0"/>
        <w:adjustRightInd w:val="0"/>
        <w:spacing w:after="0" w:line="240" w:lineRule="auto"/>
        <w:jc w:val="both"/>
        <w:rPr>
          <w:rFonts w:ascii="Times New Roman" w:hAnsi="Times New Roman" w:cs="Times New Roman"/>
        </w:rPr>
      </w:pPr>
      <w:r w:rsidRPr="003E4D88">
        <w:rPr>
          <w:rFonts w:ascii="Times New Roman" w:hAnsi="Times New Roman" w:cs="Times New Roman"/>
        </w:rPr>
        <w:t>Credit Approving Authority – Delegation of Powers. The Bank has a well-defined scheme of delegation of powers with a multi-tier risk based approving system, which is reviewed periodically and revised as and when necessary to meet the compulsions of business environment.</w:t>
      </w:r>
    </w:p>
    <w:p w:rsidR="00F51B1F" w:rsidRPr="003E4D88" w:rsidRDefault="00F51B1F" w:rsidP="00F51B1F">
      <w:pPr>
        <w:numPr>
          <w:ilvl w:val="0"/>
          <w:numId w:val="13"/>
        </w:numPr>
        <w:autoSpaceDE w:val="0"/>
        <w:autoSpaceDN w:val="0"/>
        <w:adjustRightInd w:val="0"/>
        <w:spacing w:after="0"/>
        <w:jc w:val="both"/>
        <w:rPr>
          <w:rFonts w:ascii="Times New Roman" w:hAnsi="Times New Roman" w:cs="Times New Roman"/>
        </w:rPr>
      </w:pPr>
      <w:r w:rsidRPr="003E4D88">
        <w:rPr>
          <w:rFonts w:ascii="Times New Roman" w:hAnsi="Times New Roman" w:cs="Times New Roman"/>
        </w:rPr>
        <w:t xml:space="preserve">Prudential Limits on various aspects of credit / investment like Single / Group borrower limits for various types of borrowers are in place. </w:t>
      </w:r>
    </w:p>
    <w:p w:rsidR="00F51B1F" w:rsidRPr="003E4D88" w:rsidRDefault="00F51B1F" w:rsidP="00F51B1F">
      <w:pPr>
        <w:numPr>
          <w:ilvl w:val="0"/>
          <w:numId w:val="13"/>
        </w:numPr>
        <w:autoSpaceDE w:val="0"/>
        <w:autoSpaceDN w:val="0"/>
        <w:adjustRightInd w:val="0"/>
        <w:spacing w:after="0" w:line="240" w:lineRule="auto"/>
        <w:jc w:val="both"/>
        <w:rPr>
          <w:rFonts w:ascii="Times New Roman" w:hAnsi="Times New Roman" w:cs="Times New Roman"/>
        </w:rPr>
      </w:pPr>
      <w:r w:rsidRPr="003E4D88">
        <w:rPr>
          <w:rFonts w:ascii="Times New Roman" w:hAnsi="Times New Roman" w:cs="Times New Roman"/>
        </w:rPr>
        <w:t xml:space="preserve">Risk Rating/Pricing - The bank has introduced rating models for various segments, which serve as a single point indicator of diverse risk factors of a counter party and support credit and pricing decisions. </w:t>
      </w:r>
    </w:p>
    <w:p w:rsidR="00F51B1F" w:rsidRPr="003E4D88" w:rsidRDefault="00F51B1F" w:rsidP="00F51B1F">
      <w:pPr>
        <w:numPr>
          <w:ilvl w:val="0"/>
          <w:numId w:val="13"/>
        </w:numPr>
        <w:autoSpaceDE w:val="0"/>
        <w:autoSpaceDN w:val="0"/>
        <w:adjustRightInd w:val="0"/>
        <w:spacing w:after="0" w:line="240" w:lineRule="auto"/>
        <w:jc w:val="both"/>
        <w:rPr>
          <w:rFonts w:ascii="Times New Roman" w:hAnsi="Times New Roman" w:cs="Times New Roman"/>
        </w:rPr>
      </w:pPr>
      <w:r w:rsidRPr="003E4D88">
        <w:rPr>
          <w:rFonts w:ascii="Times New Roman" w:hAnsi="Times New Roman" w:cs="Times New Roman"/>
        </w:rPr>
        <w:t xml:space="preserve">Credit Audit/Loan review mechanism is an effective tool for constantly evaluating the quality of loan book and to bring about qualitative improvements in credit administration </w:t>
      </w:r>
    </w:p>
    <w:p w:rsidR="00F51B1F" w:rsidRPr="003E4D88" w:rsidRDefault="00F51B1F" w:rsidP="00F51B1F">
      <w:pPr>
        <w:numPr>
          <w:ilvl w:val="0"/>
          <w:numId w:val="13"/>
        </w:numPr>
        <w:autoSpaceDE w:val="0"/>
        <w:autoSpaceDN w:val="0"/>
        <w:adjustRightInd w:val="0"/>
        <w:spacing w:after="0" w:line="240" w:lineRule="auto"/>
        <w:jc w:val="both"/>
        <w:rPr>
          <w:rFonts w:ascii="Times New Roman" w:hAnsi="Times New Roman" w:cs="Times New Roman"/>
        </w:rPr>
      </w:pPr>
      <w:r w:rsidRPr="003E4D88">
        <w:rPr>
          <w:rFonts w:ascii="Times New Roman" w:hAnsi="Times New Roman" w:cs="Times New Roman"/>
        </w:rPr>
        <w:t xml:space="preserve">Portfolio Management - to start with, the bank has introduced a simple portfolio-monitoring framework. Going forward the bank will be graduating to a more sophisticated Portfolio Management model. </w:t>
      </w:r>
    </w:p>
    <w:p w:rsidR="00F51B1F" w:rsidRPr="003E4D88" w:rsidRDefault="00F51B1F" w:rsidP="00F51B1F">
      <w:pPr>
        <w:numPr>
          <w:ilvl w:val="0"/>
          <w:numId w:val="13"/>
        </w:numPr>
        <w:autoSpaceDE w:val="0"/>
        <w:autoSpaceDN w:val="0"/>
        <w:adjustRightInd w:val="0"/>
        <w:spacing w:after="0" w:line="240" w:lineRule="auto"/>
        <w:jc w:val="both"/>
        <w:rPr>
          <w:rFonts w:ascii="Times New Roman" w:hAnsi="Times New Roman" w:cs="Times New Roman"/>
        </w:rPr>
      </w:pPr>
      <w:r w:rsidRPr="003E4D88">
        <w:rPr>
          <w:rFonts w:ascii="Times New Roman" w:hAnsi="Times New Roman" w:cs="Times New Roman"/>
        </w:rPr>
        <w:t xml:space="preserve">The Bank accepts a range of collaterals and techniques to mitigate the credit risks to which they are exposed to, provided the collaterals are legally enforceable and the Bank has a priority claim on the sale proceeds of the </w:t>
      </w:r>
      <w:proofErr w:type="spellStart"/>
      <w:r w:rsidRPr="003E4D88">
        <w:rPr>
          <w:rFonts w:ascii="Times New Roman" w:hAnsi="Times New Roman" w:cs="Times New Roman"/>
        </w:rPr>
        <w:t>collaterised</w:t>
      </w:r>
      <w:proofErr w:type="spellEnd"/>
      <w:r w:rsidRPr="003E4D88">
        <w:rPr>
          <w:rFonts w:ascii="Times New Roman" w:hAnsi="Times New Roman" w:cs="Times New Roman"/>
        </w:rPr>
        <w:t xml:space="preserve"> assets in the case of obligor’s default or occurrence of adverse credit events.</w:t>
      </w:r>
    </w:p>
    <w:p w:rsidR="00191B4A" w:rsidRPr="005434A5" w:rsidRDefault="00191B4A" w:rsidP="00191B4A">
      <w:pPr>
        <w:widowControl w:val="0"/>
        <w:autoSpaceDE w:val="0"/>
        <w:autoSpaceDN w:val="0"/>
        <w:adjustRightInd w:val="0"/>
        <w:spacing w:after="0"/>
        <w:jc w:val="both"/>
        <w:rPr>
          <w:rFonts w:ascii="Times New Roman" w:hAnsi="Times New Roman" w:cs="Times New Roman"/>
          <w:highlight w:val="yellow"/>
        </w:rPr>
      </w:pPr>
    </w:p>
    <w:p w:rsidR="00191B4A" w:rsidRPr="002F5B4E" w:rsidRDefault="00191B4A" w:rsidP="00191B4A">
      <w:pPr>
        <w:widowControl w:val="0"/>
        <w:autoSpaceDE w:val="0"/>
        <w:autoSpaceDN w:val="0"/>
        <w:adjustRightInd w:val="0"/>
        <w:spacing w:after="0"/>
        <w:jc w:val="both"/>
        <w:rPr>
          <w:rFonts w:ascii="Times New Roman" w:hAnsi="Times New Roman" w:cs="Times New Roman"/>
          <w:b/>
          <w:bCs/>
          <w:u w:val="single"/>
        </w:rPr>
      </w:pPr>
      <w:r w:rsidRPr="002F5B4E">
        <w:rPr>
          <w:rFonts w:ascii="Times New Roman" w:hAnsi="Times New Roman" w:cs="Times New Roman"/>
          <w:b/>
          <w:bCs/>
          <w:u w:val="single"/>
        </w:rPr>
        <w:t xml:space="preserve">RISK MEASUREMENT </w:t>
      </w:r>
    </w:p>
    <w:p w:rsidR="00397A6E" w:rsidRPr="002F5B4E" w:rsidRDefault="00397A6E" w:rsidP="00191B4A">
      <w:pPr>
        <w:widowControl w:val="0"/>
        <w:autoSpaceDE w:val="0"/>
        <w:autoSpaceDN w:val="0"/>
        <w:adjustRightInd w:val="0"/>
        <w:spacing w:after="0"/>
        <w:jc w:val="both"/>
        <w:rPr>
          <w:rFonts w:ascii="Times New Roman" w:hAnsi="Times New Roman" w:cs="Times New Roman"/>
        </w:rPr>
      </w:pPr>
    </w:p>
    <w:p w:rsidR="00191B4A" w:rsidRPr="00CF58D3" w:rsidRDefault="00191B4A" w:rsidP="00191B4A">
      <w:pPr>
        <w:widowControl w:val="0"/>
        <w:autoSpaceDE w:val="0"/>
        <w:autoSpaceDN w:val="0"/>
        <w:adjustRightInd w:val="0"/>
        <w:spacing w:after="0"/>
        <w:jc w:val="both"/>
        <w:rPr>
          <w:rFonts w:ascii="Times New Roman" w:hAnsi="Times New Roman" w:cs="Times New Roman"/>
        </w:rPr>
      </w:pPr>
      <w:r w:rsidRPr="002F5B4E">
        <w:rPr>
          <w:rFonts w:ascii="Times New Roman" w:hAnsi="Times New Roman" w:cs="Times New Roman"/>
        </w:rPr>
        <w:t>At present Credit Risk is assessed through Risk rating at the individual level and through Risk Weighting of the assets at the portfolio level and capital is maintained based on Risk Weights.</w:t>
      </w:r>
    </w:p>
    <w:p w:rsidR="003F1B8D" w:rsidRDefault="003F1B8D" w:rsidP="00191B4A">
      <w:pPr>
        <w:widowControl w:val="0"/>
        <w:autoSpaceDE w:val="0"/>
        <w:autoSpaceDN w:val="0"/>
        <w:adjustRightInd w:val="0"/>
        <w:spacing w:after="0"/>
        <w:jc w:val="both"/>
        <w:rPr>
          <w:rFonts w:ascii="Times New Roman" w:hAnsi="Times New Roman" w:cs="Times New Roman"/>
        </w:rPr>
      </w:pPr>
    </w:p>
    <w:p w:rsidR="007344A8" w:rsidRPr="00CF58D3" w:rsidRDefault="007344A8" w:rsidP="007344A8">
      <w:pPr>
        <w:spacing w:after="0" w:line="240" w:lineRule="auto"/>
        <w:rPr>
          <w:rFonts w:ascii="Times New Roman" w:hAnsi="Times New Roman" w:cs="Times New Roman"/>
          <w:b/>
          <w:u w:val="single"/>
        </w:rPr>
      </w:pPr>
      <w:r w:rsidRPr="00CF58D3">
        <w:rPr>
          <w:rFonts w:ascii="Times New Roman" w:hAnsi="Times New Roman" w:cs="Times New Roman"/>
          <w:b/>
          <w:u w:val="single"/>
        </w:rPr>
        <w:t>Total gross credit risk exposures</w:t>
      </w:r>
    </w:p>
    <w:p w:rsidR="007344A8" w:rsidRPr="00CF58D3" w:rsidRDefault="007344A8" w:rsidP="007344A8">
      <w:pPr>
        <w:spacing w:after="0" w:line="240" w:lineRule="auto"/>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5243"/>
        <w:gridCol w:w="3289"/>
      </w:tblGrid>
      <w:tr w:rsidR="007344A8" w:rsidRPr="00CF58D3" w:rsidTr="004C036A">
        <w:tc>
          <w:tcPr>
            <w:tcW w:w="437" w:type="pct"/>
          </w:tcPr>
          <w:p w:rsidR="007344A8" w:rsidRPr="00CF58D3" w:rsidRDefault="007344A8" w:rsidP="004C036A">
            <w:pPr>
              <w:spacing w:after="0" w:line="240" w:lineRule="auto"/>
              <w:rPr>
                <w:rFonts w:ascii="Times New Roman" w:hAnsi="Times New Roman" w:cs="Times New Roman"/>
              </w:rPr>
            </w:pPr>
          </w:p>
        </w:tc>
        <w:tc>
          <w:tcPr>
            <w:tcW w:w="2804" w:type="pct"/>
          </w:tcPr>
          <w:p w:rsidR="007344A8" w:rsidRPr="00CF58D3" w:rsidRDefault="007344A8" w:rsidP="004C036A">
            <w:pPr>
              <w:spacing w:after="0" w:line="240" w:lineRule="auto"/>
              <w:rPr>
                <w:rFonts w:ascii="Times New Roman" w:hAnsi="Times New Roman" w:cs="Times New Roman"/>
              </w:rPr>
            </w:pPr>
            <w:r w:rsidRPr="00CF58D3">
              <w:rPr>
                <w:rFonts w:ascii="Times New Roman" w:hAnsi="Times New Roman" w:cs="Times New Roman"/>
              </w:rPr>
              <w:t>Category</w:t>
            </w:r>
          </w:p>
        </w:tc>
        <w:tc>
          <w:tcPr>
            <w:tcW w:w="1759" w:type="pct"/>
          </w:tcPr>
          <w:p w:rsidR="007344A8" w:rsidRPr="00CF58D3" w:rsidRDefault="007344A8" w:rsidP="003F1B8D">
            <w:pPr>
              <w:spacing w:after="0" w:line="240" w:lineRule="auto"/>
              <w:jc w:val="center"/>
              <w:rPr>
                <w:rFonts w:ascii="Times New Roman" w:hAnsi="Times New Roman" w:cs="Times New Roman"/>
                <w:b/>
              </w:rPr>
            </w:pPr>
            <w:r w:rsidRPr="00CF58D3">
              <w:rPr>
                <w:rFonts w:ascii="Times New Roman" w:hAnsi="Times New Roman" w:cs="Times New Roman"/>
                <w:b/>
                <w:bCs/>
              </w:rPr>
              <w:t>Amt.  in Lakhs</w:t>
            </w:r>
          </w:p>
        </w:tc>
      </w:tr>
      <w:tr w:rsidR="007344A8" w:rsidRPr="00CF58D3" w:rsidTr="004C036A">
        <w:tc>
          <w:tcPr>
            <w:tcW w:w="437" w:type="pct"/>
          </w:tcPr>
          <w:p w:rsidR="007344A8" w:rsidRPr="00CF58D3" w:rsidRDefault="007344A8" w:rsidP="004C036A">
            <w:pPr>
              <w:spacing w:after="0" w:line="240" w:lineRule="auto"/>
              <w:rPr>
                <w:rFonts w:ascii="Times New Roman" w:hAnsi="Times New Roman" w:cs="Times New Roman"/>
              </w:rPr>
            </w:pPr>
            <w:r w:rsidRPr="00CF58D3">
              <w:rPr>
                <w:rFonts w:ascii="Times New Roman" w:hAnsi="Times New Roman" w:cs="Times New Roman"/>
              </w:rPr>
              <w:t>1</w:t>
            </w:r>
          </w:p>
        </w:tc>
        <w:tc>
          <w:tcPr>
            <w:tcW w:w="2804" w:type="pct"/>
          </w:tcPr>
          <w:p w:rsidR="007344A8" w:rsidRPr="00CF58D3" w:rsidRDefault="007344A8" w:rsidP="004C036A">
            <w:pPr>
              <w:spacing w:after="0" w:line="240" w:lineRule="auto"/>
              <w:rPr>
                <w:rFonts w:ascii="Times New Roman" w:hAnsi="Times New Roman" w:cs="Times New Roman"/>
              </w:rPr>
            </w:pPr>
            <w:r w:rsidRPr="00CF58D3">
              <w:rPr>
                <w:rFonts w:ascii="Times New Roman" w:hAnsi="Times New Roman" w:cs="Times New Roman"/>
              </w:rPr>
              <w:t>Fund Based Credit Exposures</w:t>
            </w:r>
          </w:p>
        </w:tc>
        <w:tc>
          <w:tcPr>
            <w:tcW w:w="1759" w:type="pct"/>
            <w:vAlign w:val="bottom"/>
          </w:tcPr>
          <w:p w:rsidR="007344A8" w:rsidRPr="00DF6E1B" w:rsidRDefault="00B7399A" w:rsidP="00DF6E1B">
            <w:pPr>
              <w:spacing w:after="0" w:line="240" w:lineRule="auto"/>
              <w:jc w:val="center"/>
              <w:rPr>
                <w:rFonts w:ascii="Times New Roman" w:hAnsi="Times New Roman" w:cs="Times New Roman"/>
              </w:rPr>
            </w:pPr>
            <w:r>
              <w:rPr>
                <w:rFonts w:ascii="Times New Roman" w:hAnsi="Times New Roman" w:cs="Times New Roman"/>
              </w:rPr>
              <w:t>6168533</w:t>
            </w:r>
          </w:p>
        </w:tc>
      </w:tr>
      <w:tr w:rsidR="00FA206D" w:rsidRPr="00CF58D3" w:rsidTr="004C036A">
        <w:tc>
          <w:tcPr>
            <w:tcW w:w="437" w:type="pct"/>
          </w:tcPr>
          <w:p w:rsidR="007344A8" w:rsidRPr="00CF58D3" w:rsidRDefault="007344A8" w:rsidP="004C036A">
            <w:pPr>
              <w:spacing w:after="0" w:line="240" w:lineRule="auto"/>
              <w:rPr>
                <w:rFonts w:ascii="Times New Roman" w:hAnsi="Times New Roman" w:cs="Times New Roman"/>
              </w:rPr>
            </w:pPr>
            <w:r w:rsidRPr="00CF58D3">
              <w:rPr>
                <w:rFonts w:ascii="Times New Roman" w:hAnsi="Times New Roman" w:cs="Times New Roman"/>
              </w:rPr>
              <w:t>2</w:t>
            </w:r>
          </w:p>
        </w:tc>
        <w:tc>
          <w:tcPr>
            <w:tcW w:w="2804" w:type="pct"/>
          </w:tcPr>
          <w:p w:rsidR="007344A8" w:rsidRPr="00CF58D3" w:rsidRDefault="007344A8" w:rsidP="004C036A">
            <w:pPr>
              <w:spacing w:after="0" w:line="240" w:lineRule="auto"/>
              <w:rPr>
                <w:rFonts w:ascii="Times New Roman" w:hAnsi="Times New Roman" w:cs="Times New Roman"/>
              </w:rPr>
            </w:pPr>
            <w:r w:rsidRPr="00CF58D3">
              <w:rPr>
                <w:rFonts w:ascii="Times New Roman" w:hAnsi="Times New Roman" w:cs="Times New Roman"/>
              </w:rPr>
              <w:t>Non Fund Based Credit Exposures</w:t>
            </w:r>
          </w:p>
        </w:tc>
        <w:tc>
          <w:tcPr>
            <w:tcW w:w="1759" w:type="pct"/>
            <w:vAlign w:val="bottom"/>
          </w:tcPr>
          <w:p w:rsidR="007344A8" w:rsidRPr="00DF6E1B" w:rsidRDefault="00F634F2" w:rsidP="00DF6E1B">
            <w:pPr>
              <w:spacing w:after="0" w:line="240" w:lineRule="auto"/>
              <w:jc w:val="center"/>
              <w:rPr>
                <w:rFonts w:ascii="Times New Roman" w:hAnsi="Times New Roman" w:cs="Times New Roman"/>
              </w:rPr>
            </w:pPr>
            <w:r>
              <w:rPr>
                <w:rFonts w:ascii="Times New Roman" w:hAnsi="Times New Roman" w:cs="Times New Roman"/>
              </w:rPr>
              <w:t>368511</w:t>
            </w:r>
          </w:p>
        </w:tc>
      </w:tr>
    </w:tbl>
    <w:p w:rsidR="006F4421" w:rsidRPr="00CF58D3" w:rsidRDefault="006F4421" w:rsidP="007344A8">
      <w:pPr>
        <w:spacing w:after="0" w:line="240" w:lineRule="auto"/>
        <w:rPr>
          <w:rFonts w:ascii="Times New Roman" w:hAnsi="Times New Roman" w:cs="Times New Roman"/>
          <w:b/>
          <w:u w:val="single"/>
        </w:rPr>
      </w:pPr>
    </w:p>
    <w:p w:rsidR="007344A8" w:rsidRPr="00CF58D3" w:rsidRDefault="007344A8" w:rsidP="007344A8">
      <w:pPr>
        <w:spacing w:after="0" w:line="240" w:lineRule="auto"/>
        <w:rPr>
          <w:rFonts w:ascii="Times New Roman" w:hAnsi="Times New Roman" w:cs="Times New Roman"/>
        </w:rPr>
      </w:pPr>
      <w:r w:rsidRPr="00CF58D3">
        <w:rPr>
          <w:rFonts w:ascii="Times New Roman" w:hAnsi="Times New Roman" w:cs="Times New Roman"/>
          <w:b/>
          <w:u w:val="single"/>
        </w:rPr>
        <w:t>Geographic distribution of exposures</w:t>
      </w:r>
    </w:p>
    <w:p w:rsidR="007344A8" w:rsidRPr="00CF58D3" w:rsidRDefault="007344A8" w:rsidP="007344A8">
      <w:pPr>
        <w:spacing w:after="0" w:line="240" w:lineRule="auto"/>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5243"/>
        <w:gridCol w:w="3289"/>
      </w:tblGrid>
      <w:tr w:rsidR="007344A8" w:rsidRPr="00CF58D3" w:rsidTr="004C036A">
        <w:tc>
          <w:tcPr>
            <w:tcW w:w="437" w:type="pct"/>
          </w:tcPr>
          <w:p w:rsidR="007344A8" w:rsidRPr="00CF58D3" w:rsidRDefault="007344A8" w:rsidP="004C036A">
            <w:pPr>
              <w:spacing w:after="0" w:line="240" w:lineRule="auto"/>
              <w:rPr>
                <w:rFonts w:ascii="Times New Roman" w:hAnsi="Times New Roman" w:cs="Times New Roman"/>
              </w:rPr>
            </w:pPr>
          </w:p>
        </w:tc>
        <w:tc>
          <w:tcPr>
            <w:tcW w:w="2804" w:type="pct"/>
          </w:tcPr>
          <w:p w:rsidR="007344A8" w:rsidRPr="00CF58D3" w:rsidRDefault="007344A8" w:rsidP="004C036A">
            <w:pPr>
              <w:spacing w:after="0" w:line="240" w:lineRule="auto"/>
              <w:rPr>
                <w:rFonts w:ascii="Times New Roman" w:hAnsi="Times New Roman" w:cs="Times New Roman"/>
                <w:b/>
              </w:rPr>
            </w:pPr>
            <w:r w:rsidRPr="00CF58D3">
              <w:rPr>
                <w:rFonts w:ascii="Times New Roman" w:hAnsi="Times New Roman" w:cs="Times New Roman"/>
                <w:b/>
              </w:rPr>
              <w:t>Category</w:t>
            </w:r>
          </w:p>
        </w:tc>
        <w:tc>
          <w:tcPr>
            <w:tcW w:w="1759" w:type="pct"/>
          </w:tcPr>
          <w:p w:rsidR="007344A8" w:rsidRPr="00CF58D3" w:rsidRDefault="007344A8" w:rsidP="003F1B8D">
            <w:pPr>
              <w:spacing w:after="0" w:line="240" w:lineRule="auto"/>
              <w:jc w:val="center"/>
              <w:rPr>
                <w:rFonts w:ascii="Times New Roman" w:hAnsi="Times New Roman" w:cs="Times New Roman"/>
                <w:b/>
              </w:rPr>
            </w:pPr>
            <w:r w:rsidRPr="00CF58D3">
              <w:rPr>
                <w:rFonts w:ascii="Times New Roman" w:hAnsi="Times New Roman" w:cs="Times New Roman"/>
                <w:b/>
                <w:bCs/>
              </w:rPr>
              <w:t>Amt.  in Lakhs</w:t>
            </w:r>
          </w:p>
        </w:tc>
      </w:tr>
      <w:tr w:rsidR="007344A8" w:rsidRPr="00CF58D3" w:rsidTr="004C036A">
        <w:trPr>
          <w:trHeight w:val="429"/>
        </w:trPr>
        <w:tc>
          <w:tcPr>
            <w:tcW w:w="437" w:type="pct"/>
            <w:vMerge w:val="restart"/>
          </w:tcPr>
          <w:p w:rsidR="007344A8" w:rsidRPr="00CF58D3" w:rsidRDefault="007344A8" w:rsidP="004C036A">
            <w:pPr>
              <w:spacing w:after="0" w:line="240" w:lineRule="auto"/>
              <w:rPr>
                <w:rFonts w:ascii="Times New Roman" w:hAnsi="Times New Roman" w:cs="Times New Roman"/>
              </w:rPr>
            </w:pPr>
            <w:r w:rsidRPr="00CF58D3">
              <w:rPr>
                <w:rFonts w:ascii="Times New Roman" w:hAnsi="Times New Roman" w:cs="Times New Roman"/>
              </w:rPr>
              <w:t>1</w:t>
            </w:r>
          </w:p>
        </w:tc>
        <w:tc>
          <w:tcPr>
            <w:tcW w:w="2804" w:type="pct"/>
            <w:tcBorders>
              <w:bottom w:val="single" w:sz="4" w:space="0" w:color="auto"/>
            </w:tcBorders>
          </w:tcPr>
          <w:p w:rsidR="007344A8" w:rsidRPr="00CF58D3" w:rsidRDefault="007344A8" w:rsidP="004C036A">
            <w:pPr>
              <w:spacing w:after="0" w:line="240" w:lineRule="auto"/>
              <w:rPr>
                <w:rFonts w:ascii="Times New Roman" w:hAnsi="Times New Roman" w:cs="Times New Roman"/>
                <w:b/>
              </w:rPr>
            </w:pPr>
            <w:r w:rsidRPr="00CF58D3">
              <w:rPr>
                <w:rFonts w:ascii="Times New Roman" w:hAnsi="Times New Roman" w:cs="Times New Roman"/>
                <w:b/>
              </w:rPr>
              <w:t xml:space="preserve">Overseas </w:t>
            </w:r>
          </w:p>
          <w:p w:rsidR="007344A8" w:rsidRPr="00CF58D3" w:rsidRDefault="007344A8" w:rsidP="004C036A">
            <w:pPr>
              <w:numPr>
                <w:ilvl w:val="0"/>
                <w:numId w:val="12"/>
              </w:numPr>
              <w:spacing w:after="0" w:line="240" w:lineRule="auto"/>
              <w:ind w:left="0" w:firstLine="0"/>
              <w:rPr>
                <w:rFonts w:ascii="Times New Roman" w:hAnsi="Times New Roman" w:cs="Times New Roman"/>
              </w:rPr>
            </w:pPr>
            <w:r w:rsidRPr="00CF58D3">
              <w:rPr>
                <w:rFonts w:ascii="Times New Roman" w:hAnsi="Times New Roman" w:cs="Times New Roman"/>
              </w:rPr>
              <w:t>Fund Based Credit Exposures</w:t>
            </w:r>
          </w:p>
        </w:tc>
        <w:tc>
          <w:tcPr>
            <w:tcW w:w="1759" w:type="pct"/>
            <w:tcBorders>
              <w:bottom w:val="single" w:sz="4" w:space="0" w:color="auto"/>
            </w:tcBorders>
          </w:tcPr>
          <w:p w:rsidR="007344A8" w:rsidRPr="00CF58D3" w:rsidRDefault="007344A8" w:rsidP="003F1B8D">
            <w:pPr>
              <w:spacing w:after="0" w:line="240" w:lineRule="auto"/>
              <w:jc w:val="center"/>
              <w:rPr>
                <w:rFonts w:ascii="Times New Roman" w:hAnsi="Times New Roman" w:cs="Times New Roman"/>
              </w:rPr>
            </w:pPr>
            <w:r w:rsidRPr="00CF58D3">
              <w:rPr>
                <w:rFonts w:ascii="Times New Roman" w:hAnsi="Times New Roman" w:cs="Times New Roman"/>
              </w:rPr>
              <w:t>NIL</w:t>
            </w:r>
          </w:p>
        </w:tc>
      </w:tr>
      <w:tr w:rsidR="007344A8" w:rsidRPr="00CF58D3" w:rsidTr="004C036A">
        <w:trPr>
          <w:trHeight w:val="287"/>
        </w:trPr>
        <w:tc>
          <w:tcPr>
            <w:tcW w:w="437" w:type="pct"/>
            <w:vMerge/>
          </w:tcPr>
          <w:p w:rsidR="007344A8" w:rsidRPr="00CF58D3" w:rsidRDefault="007344A8" w:rsidP="004C036A">
            <w:pPr>
              <w:spacing w:after="0" w:line="240" w:lineRule="auto"/>
              <w:rPr>
                <w:rFonts w:ascii="Times New Roman" w:hAnsi="Times New Roman" w:cs="Times New Roman"/>
              </w:rPr>
            </w:pPr>
          </w:p>
        </w:tc>
        <w:tc>
          <w:tcPr>
            <w:tcW w:w="2804" w:type="pct"/>
            <w:tcBorders>
              <w:top w:val="single" w:sz="4" w:space="0" w:color="auto"/>
            </w:tcBorders>
          </w:tcPr>
          <w:p w:rsidR="007344A8" w:rsidRPr="00CF58D3" w:rsidRDefault="007344A8" w:rsidP="004C036A">
            <w:pPr>
              <w:numPr>
                <w:ilvl w:val="0"/>
                <w:numId w:val="12"/>
              </w:numPr>
              <w:spacing w:after="0" w:line="240" w:lineRule="auto"/>
              <w:ind w:left="0" w:firstLine="0"/>
              <w:rPr>
                <w:rFonts w:ascii="Times New Roman" w:hAnsi="Times New Roman" w:cs="Times New Roman"/>
              </w:rPr>
            </w:pPr>
            <w:r w:rsidRPr="00CF58D3">
              <w:rPr>
                <w:rFonts w:ascii="Times New Roman" w:hAnsi="Times New Roman" w:cs="Times New Roman"/>
              </w:rPr>
              <w:t>Non Fund Based Credit Exposures</w:t>
            </w:r>
          </w:p>
        </w:tc>
        <w:tc>
          <w:tcPr>
            <w:tcW w:w="1759" w:type="pct"/>
            <w:tcBorders>
              <w:top w:val="single" w:sz="4" w:space="0" w:color="auto"/>
            </w:tcBorders>
          </w:tcPr>
          <w:p w:rsidR="007344A8" w:rsidRPr="00CF58D3" w:rsidRDefault="007344A8" w:rsidP="003F1B8D">
            <w:pPr>
              <w:spacing w:after="0" w:line="240" w:lineRule="auto"/>
              <w:jc w:val="center"/>
              <w:rPr>
                <w:rFonts w:ascii="Times New Roman" w:hAnsi="Times New Roman" w:cs="Times New Roman"/>
              </w:rPr>
            </w:pPr>
            <w:r w:rsidRPr="00CF58D3">
              <w:rPr>
                <w:rFonts w:ascii="Times New Roman" w:hAnsi="Times New Roman" w:cs="Times New Roman"/>
              </w:rPr>
              <w:t>NIL</w:t>
            </w:r>
          </w:p>
        </w:tc>
      </w:tr>
      <w:tr w:rsidR="00C3139C" w:rsidRPr="00CF58D3" w:rsidTr="004C036A">
        <w:trPr>
          <w:trHeight w:val="431"/>
        </w:trPr>
        <w:tc>
          <w:tcPr>
            <w:tcW w:w="437" w:type="pct"/>
            <w:vMerge w:val="restart"/>
          </w:tcPr>
          <w:p w:rsidR="00C3139C" w:rsidRPr="00CF58D3" w:rsidRDefault="00C3139C" w:rsidP="004C036A">
            <w:pPr>
              <w:spacing w:after="0" w:line="240" w:lineRule="auto"/>
              <w:rPr>
                <w:rFonts w:ascii="Times New Roman" w:hAnsi="Times New Roman" w:cs="Times New Roman"/>
              </w:rPr>
            </w:pPr>
            <w:r w:rsidRPr="00CF58D3">
              <w:rPr>
                <w:rFonts w:ascii="Times New Roman" w:hAnsi="Times New Roman" w:cs="Times New Roman"/>
              </w:rPr>
              <w:t>2</w:t>
            </w:r>
          </w:p>
        </w:tc>
        <w:tc>
          <w:tcPr>
            <w:tcW w:w="2804" w:type="pct"/>
            <w:tcBorders>
              <w:bottom w:val="single" w:sz="4" w:space="0" w:color="auto"/>
            </w:tcBorders>
          </w:tcPr>
          <w:p w:rsidR="00C3139C" w:rsidRPr="00CF58D3" w:rsidRDefault="00C3139C" w:rsidP="004C036A">
            <w:pPr>
              <w:spacing w:after="0" w:line="240" w:lineRule="auto"/>
              <w:rPr>
                <w:rFonts w:ascii="Times New Roman" w:hAnsi="Times New Roman" w:cs="Times New Roman"/>
                <w:b/>
              </w:rPr>
            </w:pPr>
            <w:r w:rsidRPr="00CF58D3">
              <w:rPr>
                <w:rFonts w:ascii="Times New Roman" w:hAnsi="Times New Roman" w:cs="Times New Roman"/>
                <w:b/>
              </w:rPr>
              <w:t xml:space="preserve">Domestic </w:t>
            </w:r>
          </w:p>
          <w:p w:rsidR="00C3139C" w:rsidRPr="00CF58D3" w:rsidRDefault="00C3139C" w:rsidP="004C036A">
            <w:pPr>
              <w:numPr>
                <w:ilvl w:val="0"/>
                <w:numId w:val="12"/>
              </w:numPr>
              <w:spacing w:after="0" w:line="240" w:lineRule="auto"/>
              <w:ind w:left="0" w:firstLine="0"/>
              <w:rPr>
                <w:rFonts w:ascii="Times New Roman" w:hAnsi="Times New Roman" w:cs="Times New Roman"/>
              </w:rPr>
            </w:pPr>
            <w:r w:rsidRPr="00CF58D3">
              <w:rPr>
                <w:rFonts w:ascii="Times New Roman" w:hAnsi="Times New Roman" w:cs="Times New Roman"/>
              </w:rPr>
              <w:t>Fund Based Credit Exposures</w:t>
            </w:r>
          </w:p>
        </w:tc>
        <w:tc>
          <w:tcPr>
            <w:tcW w:w="1759" w:type="pct"/>
            <w:tcBorders>
              <w:bottom w:val="single" w:sz="4" w:space="0" w:color="auto"/>
            </w:tcBorders>
            <w:vAlign w:val="bottom"/>
          </w:tcPr>
          <w:p w:rsidR="00C3139C" w:rsidRPr="00DF6E1B" w:rsidRDefault="00B7399A" w:rsidP="00B7399A">
            <w:pPr>
              <w:spacing w:after="0" w:line="240" w:lineRule="auto"/>
              <w:rPr>
                <w:rFonts w:ascii="Times New Roman" w:hAnsi="Times New Roman" w:cs="Times New Roman"/>
              </w:rPr>
            </w:pPr>
            <w:r>
              <w:rPr>
                <w:rFonts w:ascii="Times New Roman" w:hAnsi="Times New Roman" w:cs="Times New Roman"/>
              </w:rPr>
              <w:t xml:space="preserve">                      6168533</w:t>
            </w:r>
          </w:p>
        </w:tc>
      </w:tr>
      <w:tr w:rsidR="00C3139C" w:rsidRPr="00CF58D3" w:rsidTr="004C036A">
        <w:trPr>
          <w:trHeight w:val="326"/>
        </w:trPr>
        <w:tc>
          <w:tcPr>
            <w:tcW w:w="437" w:type="pct"/>
            <w:vMerge/>
          </w:tcPr>
          <w:p w:rsidR="00C3139C" w:rsidRPr="00CF58D3" w:rsidRDefault="00C3139C" w:rsidP="004C036A">
            <w:pPr>
              <w:spacing w:after="0" w:line="240" w:lineRule="auto"/>
              <w:rPr>
                <w:rFonts w:ascii="Times New Roman" w:hAnsi="Times New Roman" w:cs="Times New Roman"/>
              </w:rPr>
            </w:pPr>
          </w:p>
        </w:tc>
        <w:tc>
          <w:tcPr>
            <w:tcW w:w="2804" w:type="pct"/>
            <w:tcBorders>
              <w:top w:val="single" w:sz="4" w:space="0" w:color="auto"/>
            </w:tcBorders>
          </w:tcPr>
          <w:p w:rsidR="00C3139C" w:rsidRPr="00CF58D3" w:rsidRDefault="00C3139C" w:rsidP="004C036A">
            <w:pPr>
              <w:numPr>
                <w:ilvl w:val="0"/>
                <w:numId w:val="12"/>
              </w:numPr>
              <w:spacing w:after="0" w:line="240" w:lineRule="auto"/>
              <w:ind w:left="0" w:firstLine="0"/>
              <w:rPr>
                <w:rFonts w:ascii="Times New Roman" w:hAnsi="Times New Roman" w:cs="Times New Roman"/>
              </w:rPr>
            </w:pPr>
            <w:r w:rsidRPr="00CF58D3">
              <w:rPr>
                <w:rFonts w:ascii="Times New Roman" w:hAnsi="Times New Roman" w:cs="Times New Roman"/>
              </w:rPr>
              <w:t>Non Fund Based Credit Exposures</w:t>
            </w:r>
          </w:p>
        </w:tc>
        <w:tc>
          <w:tcPr>
            <w:tcW w:w="1759" w:type="pct"/>
            <w:tcBorders>
              <w:top w:val="single" w:sz="4" w:space="0" w:color="auto"/>
            </w:tcBorders>
            <w:vAlign w:val="bottom"/>
          </w:tcPr>
          <w:p w:rsidR="00C3139C" w:rsidRPr="00DF6E1B" w:rsidRDefault="008D1B2A" w:rsidP="00F634F2">
            <w:pPr>
              <w:spacing w:after="0" w:line="240" w:lineRule="auto"/>
              <w:jc w:val="center"/>
              <w:rPr>
                <w:rFonts w:ascii="Times New Roman" w:hAnsi="Times New Roman" w:cs="Times New Roman"/>
              </w:rPr>
            </w:pPr>
            <w:r>
              <w:rPr>
                <w:rFonts w:ascii="Times New Roman" w:hAnsi="Times New Roman" w:cs="Times New Roman"/>
              </w:rPr>
              <w:t>368511</w:t>
            </w:r>
          </w:p>
        </w:tc>
      </w:tr>
    </w:tbl>
    <w:p w:rsidR="00A80BA9" w:rsidRPr="00CF58D3" w:rsidRDefault="00A80BA9" w:rsidP="007344A8">
      <w:pPr>
        <w:spacing w:after="0" w:line="240" w:lineRule="auto"/>
        <w:rPr>
          <w:rFonts w:ascii="Times New Roman" w:hAnsi="Times New Roman" w:cs="Times New Roman"/>
          <w:b/>
          <w:u w:val="single"/>
        </w:rPr>
      </w:pPr>
    </w:p>
    <w:p w:rsidR="00A80BA9" w:rsidRDefault="00A80BA9" w:rsidP="007344A8">
      <w:pPr>
        <w:spacing w:after="0" w:line="240" w:lineRule="auto"/>
        <w:rPr>
          <w:rFonts w:ascii="Times New Roman" w:hAnsi="Times New Roman" w:cs="Times New Roman"/>
          <w:b/>
          <w:u w:val="single"/>
        </w:rPr>
      </w:pPr>
    </w:p>
    <w:p w:rsidR="00462A3D" w:rsidRDefault="00462A3D" w:rsidP="007344A8">
      <w:pPr>
        <w:spacing w:after="0" w:line="240" w:lineRule="auto"/>
        <w:rPr>
          <w:rFonts w:ascii="Times New Roman" w:hAnsi="Times New Roman" w:cs="Times New Roman"/>
          <w:b/>
          <w:u w:val="single"/>
        </w:rPr>
      </w:pPr>
    </w:p>
    <w:p w:rsidR="00462A3D" w:rsidRPr="00CF58D3" w:rsidRDefault="00462A3D" w:rsidP="007344A8">
      <w:pPr>
        <w:spacing w:after="0" w:line="240" w:lineRule="auto"/>
        <w:rPr>
          <w:rFonts w:ascii="Times New Roman" w:hAnsi="Times New Roman" w:cs="Times New Roman"/>
          <w:b/>
          <w:u w:val="single"/>
        </w:rPr>
      </w:pPr>
    </w:p>
    <w:p w:rsidR="007344A8" w:rsidRPr="00CF58D3" w:rsidRDefault="007344A8" w:rsidP="007344A8">
      <w:pPr>
        <w:spacing w:after="0" w:line="240" w:lineRule="auto"/>
        <w:rPr>
          <w:rFonts w:ascii="Times New Roman" w:hAnsi="Times New Roman" w:cs="Times New Roman"/>
          <w:b/>
          <w:u w:val="single"/>
        </w:rPr>
      </w:pPr>
      <w:r w:rsidRPr="00CF58D3">
        <w:rPr>
          <w:rFonts w:ascii="Times New Roman" w:hAnsi="Times New Roman" w:cs="Times New Roman"/>
          <w:b/>
          <w:u w:val="single"/>
        </w:rPr>
        <w:lastRenderedPageBreak/>
        <w:t>INDUSTRY TYPE DISTRIBUTION OF EXPOSURES</w:t>
      </w:r>
    </w:p>
    <w:p w:rsidR="009A7B30" w:rsidRPr="00CF58D3" w:rsidRDefault="009A7B30" w:rsidP="007344A8">
      <w:pPr>
        <w:spacing w:after="0" w:line="240" w:lineRule="auto"/>
        <w:rPr>
          <w:rFonts w:ascii="Times New Roman" w:hAnsi="Times New Roman" w:cs="Times New Roman"/>
          <w:b/>
        </w:rPr>
      </w:pPr>
      <w:r w:rsidRPr="00CF58D3">
        <w:rPr>
          <w:rFonts w:ascii="Times New Roman" w:hAnsi="Times New Roman" w:cs="Times New Roman"/>
          <w:b/>
        </w:rPr>
        <w:tab/>
      </w:r>
      <w:r w:rsidRPr="00CF58D3">
        <w:rPr>
          <w:rFonts w:ascii="Times New Roman" w:hAnsi="Times New Roman" w:cs="Times New Roman"/>
          <w:b/>
        </w:rPr>
        <w:tab/>
      </w:r>
      <w:r w:rsidRPr="00CF58D3">
        <w:rPr>
          <w:rFonts w:ascii="Times New Roman" w:hAnsi="Times New Roman" w:cs="Times New Roman"/>
          <w:b/>
        </w:rPr>
        <w:tab/>
      </w:r>
    </w:p>
    <w:p w:rsidR="001B74A7" w:rsidRDefault="009A7B30" w:rsidP="00A76CA7">
      <w:pPr>
        <w:spacing w:after="0" w:line="240" w:lineRule="auto"/>
        <w:jc w:val="right"/>
        <w:rPr>
          <w:rFonts w:ascii="Times New Roman" w:hAnsi="Times New Roman" w:cs="Times New Roman"/>
        </w:rPr>
      </w:pPr>
      <w:r w:rsidRPr="00CF58D3">
        <w:rPr>
          <w:rFonts w:ascii="Times New Roman" w:hAnsi="Times New Roman" w:cs="Times New Roman"/>
        </w:rPr>
        <w:tab/>
      </w:r>
      <w:r w:rsidRPr="00CF58D3">
        <w:rPr>
          <w:rFonts w:ascii="Times New Roman" w:hAnsi="Times New Roman" w:cs="Times New Roman"/>
        </w:rPr>
        <w:tab/>
      </w:r>
      <w:r w:rsidRPr="00CF58D3">
        <w:rPr>
          <w:rFonts w:ascii="Times New Roman" w:hAnsi="Times New Roman" w:cs="Times New Roman"/>
        </w:rPr>
        <w:tab/>
      </w:r>
      <w:r w:rsidRPr="00CF58D3">
        <w:rPr>
          <w:rFonts w:ascii="Times New Roman" w:hAnsi="Times New Roman" w:cs="Times New Roman"/>
        </w:rPr>
        <w:tab/>
      </w:r>
      <w:r w:rsidRPr="00CF58D3">
        <w:rPr>
          <w:rFonts w:ascii="Times New Roman" w:hAnsi="Times New Roman" w:cs="Times New Roman"/>
        </w:rPr>
        <w:tab/>
      </w:r>
      <w:r w:rsidRPr="00CF58D3">
        <w:rPr>
          <w:rFonts w:ascii="Times New Roman" w:hAnsi="Times New Roman" w:cs="Times New Roman"/>
        </w:rPr>
        <w:tab/>
      </w:r>
      <w:r w:rsidRPr="00CF58D3">
        <w:rPr>
          <w:rFonts w:ascii="Times New Roman" w:hAnsi="Times New Roman" w:cs="Times New Roman"/>
        </w:rPr>
        <w:tab/>
      </w:r>
      <w:r w:rsidRPr="00CF58D3">
        <w:rPr>
          <w:rFonts w:ascii="Times New Roman" w:hAnsi="Times New Roman" w:cs="Times New Roman"/>
        </w:rPr>
        <w:tab/>
      </w:r>
      <w:r w:rsidRPr="00CF58D3">
        <w:rPr>
          <w:rFonts w:ascii="Times New Roman" w:hAnsi="Times New Roman" w:cs="Times New Roman"/>
        </w:rPr>
        <w:tab/>
      </w:r>
      <w:r w:rsidRPr="00CF58D3">
        <w:rPr>
          <w:rFonts w:ascii="Times New Roman" w:hAnsi="Times New Roman" w:cs="Times New Roman"/>
        </w:rPr>
        <w:tab/>
        <w:t xml:space="preserve">Amount in </w:t>
      </w:r>
      <w:proofErr w:type="spellStart"/>
      <w:r w:rsidRPr="00CF58D3">
        <w:rPr>
          <w:rFonts w:ascii="Times New Roman" w:hAnsi="Times New Roman" w:cs="Times New Roman"/>
        </w:rPr>
        <w:t>Lacs</w:t>
      </w:r>
      <w:proofErr w:type="spellEnd"/>
      <w:r w:rsidRPr="00CF58D3">
        <w:rPr>
          <w:rFonts w:ascii="Times New Roman" w:hAnsi="Times New Roman" w:cs="Times New Roman"/>
        </w:rPr>
        <w:tab/>
      </w:r>
    </w:p>
    <w:tbl>
      <w:tblPr>
        <w:tblW w:w="5000" w:type="pct"/>
        <w:tblLook w:val="04A0" w:firstRow="1" w:lastRow="0" w:firstColumn="1" w:lastColumn="0" w:noHBand="0" w:noVBand="1"/>
      </w:tblPr>
      <w:tblGrid>
        <w:gridCol w:w="4894"/>
        <w:gridCol w:w="1640"/>
        <w:gridCol w:w="1382"/>
        <w:gridCol w:w="1434"/>
      </w:tblGrid>
      <w:tr w:rsidR="001B74A7" w:rsidRPr="001B74A7" w:rsidTr="001B74A7">
        <w:trPr>
          <w:trHeight w:val="300"/>
          <w:tblHeader/>
        </w:trPr>
        <w:tc>
          <w:tcPr>
            <w:tcW w:w="2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4A7" w:rsidRPr="001B74A7" w:rsidRDefault="001B74A7" w:rsidP="001B74A7">
            <w:pPr>
              <w:spacing w:after="0" w:line="240" w:lineRule="auto"/>
              <w:rPr>
                <w:rFonts w:ascii="Times New Roman" w:hAnsi="Times New Roman" w:cs="Times New Roman"/>
                <w:b/>
                <w:bCs/>
                <w:color w:val="000000"/>
              </w:rPr>
            </w:pPr>
            <w:r w:rsidRPr="001B74A7">
              <w:rPr>
                <w:rFonts w:ascii="Times New Roman" w:hAnsi="Times New Roman" w:cs="Times New Roman"/>
                <w:b/>
                <w:bCs/>
                <w:color w:val="000000"/>
              </w:rPr>
              <w:t>INDUSTRY</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rsidR="001B74A7" w:rsidRPr="001B74A7" w:rsidRDefault="001B74A7" w:rsidP="001B74A7">
            <w:pPr>
              <w:spacing w:after="0" w:line="240" w:lineRule="auto"/>
              <w:rPr>
                <w:rFonts w:ascii="Times New Roman" w:hAnsi="Times New Roman" w:cs="Times New Roman"/>
                <w:b/>
                <w:bCs/>
                <w:color w:val="000000"/>
              </w:rPr>
            </w:pPr>
            <w:r w:rsidRPr="001B74A7">
              <w:rPr>
                <w:rFonts w:ascii="Times New Roman" w:hAnsi="Times New Roman" w:cs="Times New Roman"/>
                <w:b/>
                <w:bCs/>
                <w:color w:val="000000"/>
              </w:rPr>
              <w:t>FUNDED</w:t>
            </w:r>
          </w:p>
        </w:tc>
        <w:tc>
          <w:tcPr>
            <w:tcW w:w="739" w:type="pct"/>
            <w:tcBorders>
              <w:top w:val="single" w:sz="4" w:space="0" w:color="auto"/>
              <w:left w:val="nil"/>
              <w:bottom w:val="single" w:sz="4" w:space="0" w:color="auto"/>
              <w:right w:val="single" w:sz="4" w:space="0" w:color="auto"/>
            </w:tcBorders>
            <w:shd w:val="clear" w:color="auto" w:fill="auto"/>
            <w:noWrap/>
            <w:vAlign w:val="center"/>
            <w:hideMark/>
          </w:tcPr>
          <w:p w:rsidR="001B74A7" w:rsidRPr="001B74A7" w:rsidRDefault="001B74A7" w:rsidP="001B74A7">
            <w:pPr>
              <w:spacing w:after="0" w:line="240" w:lineRule="auto"/>
              <w:rPr>
                <w:rFonts w:ascii="Times New Roman" w:hAnsi="Times New Roman" w:cs="Times New Roman"/>
                <w:b/>
                <w:bCs/>
                <w:color w:val="000000"/>
              </w:rPr>
            </w:pPr>
            <w:r w:rsidRPr="001B74A7">
              <w:rPr>
                <w:rFonts w:ascii="Times New Roman" w:hAnsi="Times New Roman" w:cs="Times New Roman"/>
                <w:b/>
                <w:bCs/>
                <w:color w:val="000000"/>
              </w:rPr>
              <w:t>NON FUND</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rsidR="001B74A7" w:rsidRPr="001B74A7" w:rsidRDefault="001B74A7" w:rsidP="001B74A7">
            <w:pPr>
              <w:spacing w:after="0" w:line="240" w:lineRule="auto"/>
              <w:rPr>
                <w:rFonts w:ascii="Times New Roman" w:hAnsi="Times New Roman" w:cs="Times New Roman"/>
                <w:b/>
                <w:bCs/>
                <w:color w:val="000000"/>
              </w:rPr>
            </w:pPr>
            <w:r w:rsidRPr="001B74A7">
              <w:rPr>
                <w:rFonts w:ascii="Times New Roman" w:hAnsi="Times New Roman" w:cs="Times New Roman"/>
                <w:b/>
                <w:bCs/>
                <w:color w:val="000000"/>
              </w:rPr>
              <w:t>TOTAL</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A.MINING &amp; QUARRYING</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39294</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13883</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53177</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A.1 COAL/HARD LIGNITE/PEAT</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48</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8609</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8657</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A.2 MINING OTHERS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39246</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5274</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44520</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B.FOOD PROCESSING</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102196</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2283</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b/>
                <w:bCs/>
                <w:color w:val="000000"/>
              </w:rPr>
            </w:pPr>
            <w:r>
              <w:rPr>
                <w:rFonts w:cs="Calibri"/>
                <w:b/>
                <w:bCs/>
                <w:color w:val="000000"/>
              </w:rPr>
              <w:t>104479</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B.1 SUGAR</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12195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168</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12363</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B.2 EDIBLE OILS &amp; VANASPATI</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28185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6</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28191</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B.3 TEA</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2905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134</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3039</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B.4 COFFEE</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B.5 FOOD PROC.- OTHERS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58906</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1974</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60880</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C.BEVERAGES &amp; TOBACCO</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23332</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280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b/>
                <w:bCs/>
                <w:color w:val="000000"/>
              </w:rPr>
            </w:pPr>
            <w:r>
              <w:rPr>
                <w:rFonts w:cs="Calibri"/>
                <w:b/>
                <w:bCs/>
                <w:color w:val="000000"/>
              </w:rPr>
              <w:t>23612</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C.1 TABACCO &amp; TOBACCO PROD.</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18</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18</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C.2 BEVERAGES &amp; TOBACCO-OTHERS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23314</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280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color w:val="000000"/>
              </w:rPr>
            </w:pPr>
            <w:r>
              <w:rPr>
                <w:rFonts w:cs="Calibri"/>
                <w:color w:val="000000"/>
              </w:rPr>
              <w:t>23594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D.TEXTILES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132182</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1595</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b/>
                <w:bCs/>
                <w:color w:val="000000"/>
              </w:rPr>
            </w:pPr>
            <w:r>
              <w:rPr>
                <w:rFonts w:cs="Calibri"/>
                <w:b/>
                <w:bCs/>
                <w:color w:val="000000"/>
              </w:rPr>
              <w:t>133777</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D.1 COTTON</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75603</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651</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76254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D.1.1 SPINNING</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54688</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537</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55225</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D.2 JUTE</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356</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356</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D.2.1 SPINNING</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63</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63</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D.3 HANDICRAFT/KHADI (NPS)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1937</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59</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1996</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D.3.1 SPINNING</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588</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628</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D.4 SILK</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7505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383</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color w:val="000000"/>
              </w:rPr>
            </w:pPr>
            <w:r>
              <w:rPr>
                <w:rFonts w:cs="Calibri"/>
                <w:color w:val="000000"/>
              </w:rPr>
              <w:t>7888</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D.4.1 SPINNING</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3792</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3792</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D.5 WOOLEN</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1077</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87</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1164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D.5.1 SPINNING</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105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107</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D.6 TEXTILE-OTHERS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45704</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415</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46119</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E.LEATHER &amp; LEATHER PRODUCTS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13953</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171</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14124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F.WOOD &amp; WOOD PRODUCTS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9229</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1396</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10625</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G.PAPER &amp; PAPER PRODUCTS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5436</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155</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5591</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H.PETRO./COAL/NUCLEAR FUELS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4233</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1396</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462A3D">
            <w:pPr>
              <w:spacing w:after="0" w:line="240" w:lineRule="auto"/>
              <w:jc w:val="right"/>
              <w:rPr>
                <w:rFonts w:cs="Calibri"/>
                <w:b/>
                <w:bCs/>
                <w:color w:val="000000"/>
              </w:rPr>
            </w:pPr>
            <w:r w:rsidRPr="001B74A7">
              <w:rPr>
                <w:rFonts w:cs="Calibri"/>
                <w:b/>
                <w:bCs/>
                <w:color w:val="000000"/>
              </w:rPr>
              <w:t>56</w:t>
            </w:r>
            <w:r w:rsidR="00462A3D">
              <w:rPr>
                <w:rFonts w:cs="Calibri"/>
                <w:b/>
                <w:bCs/>
                <w:color w:val="000000"/>
              </w:rPr>
              <w:t>29</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I.CHEMICALS &amp; CHEMICAL PROD.</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9172</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869</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10041</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I.1 FERTILISERS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I.2 DRUGS AND PHARMA.</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1363</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color w:val="000000"/>
              </w:rPr>
            </w:pPr>
            <w:r>
              <w:rPr>
                <w:rFonts w:cs="Calibri"/>
                <w:color w:val="000000"/>
              </w:rPr>
              <w:t>1367</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I.3 PETRO-CHEMICALS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1090</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69</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1159</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I.4 CHEMICALS &amp; CHEMICAL PROD.- OTHERS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6718</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796</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7514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J.RUBBER</w:t>
            </w:r>
            <w:proofErr w:type="gramStart"/>
            <w:r w:rsidRPr="001B74A7">
              <w:rPr>
                <w:rFonts w:cs="Calibri"/>
                <w:b/>
                <w:bCs/>
                <w:color w:val="000000"/>
              </w:rPr>
              <w:t>,PLASTIC</w:t>
            </w:r>
            <w:proofErr w:type="gramEnd"/>
            <w:r w:rsidRPr="001B74A7">
              <w:rPr>
                <w:rFonts w:cs="Calibri"/>
                <w:b/>
                <w:bCs/>
                <w:color w:val="000000"/>
              </w:rPr>
              <w:t xml:space="preserve"> &amp; ITS PROD.</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12775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869</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b/>
                <w:bCs/>
                <w:color w:val="000000"/>
              </w:rPr>
            </w:pPr>
            <w:r>
              <w:rPr>
                <w:rFonts w:cs="Calibri"/>
                <w:b/>
                <w:bCs/>
                <w:color w:val="000000"/>
              </w:rPr>
              <w:t>13644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K.GLASS &amp; GLASSWARE</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1733</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25</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b/>
                <w:bCs/>
                <w:color w:val="000000"/>
              </w:rPr>
            </w:pPr>
            <w:r>
              <w:rPr>
                <w:rFonts w:cs="Calibri"/>
                <w:b/>
                <w:bCs/>
                <w:color w:val="000000"/>
              </w:rPr>
              <w:t>1758</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L.CEMENT AND CEMENT PROD.</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2779</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6239</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b/>
                <w:bCs/>
                <w:color w:val="000000"/>
              </w:rPr>
            </w:pPr>
            <w:r>
              <w:rPr>
                <w:rFonts w:cs="Calibri"/>
                <w:b/>
                <w:bCs/>
                <w:color w:val="000000"/>
              </w:rPr>
              <w:t>9018</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M.BASIC METAL &amp; METAL PROD.</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116995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5349</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122344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M.1 IRON &amp; STEEL</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95208</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1082</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color w:val="000000"/>
              </w:rPr>
            </w:pPr>
            <w:r>
              <w:rPr>
                <w:rFonts w:cs="Calibri"/>
                <w:color w:val="000000"/>
              </w:rPr>
              <w:t>96290</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M.2 OTHER METAL &amp; METAL PROD.</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21787</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4267</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26054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lastRenderedPageBreak/>
              <w:t>N.ALL ENGINEERING</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39905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6138</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46043</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N.1 ELECTRONICS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1305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155</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1460</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N.2 ALL ENGG. - OTHERS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38599</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5983</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44582</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O.VEHCLES/V.PARTS/TPT.EQPM.</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10545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5510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16055</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P.GEMS &amp; JEWELLARY</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3597</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3598</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Q.CONSTRUCTIONS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44451</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36972</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81423</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R.INFRASTRUCTURE</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1310595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154433</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1465028</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R.1 TRANSPORT</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312250</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131896</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444146</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R.1.1 -RAILWAYS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520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524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R.1.2 -ROADWAYS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290636</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111689</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402325</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R.1.3 -OTHERS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3541</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213</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3754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R.1.4 -WATERWAYS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2565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19321</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21886</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R.1.5 -OTHERS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15504</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153</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15657</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R.2 ENERGY</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399155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11082</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410237</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R.2.1 -ELEC(GEN/TRMN/DTB)</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398977</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11047</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410024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R.2.2 -OIL (STRG/PIPELINES)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87</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35</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462A3D">
            <w:pPr>
              <w:spacing w:after="0" w:line="240" w:lineRule="auto"/>
              <w:jc w:val="right"/>
              <w:rPr>
                <w:rFonts w:cs="Calibri"/>
                <w:color w:val="000000"/>
              </w:rPr>
            </w:pPr>
            <w:r w:rsidRPr="001B74A7">
              <w:rPr>
                <w:rFonts w:cs="Calibri"/>
                <w:color w:val="000000"/>
              </w:rPr>
              <w:t>12</w:t>
            </w:r>
            <w:r w:rsidR="00462A3D">
              <w:rPr>
                <w:rFonts w:cs="Calibri"/>
                <w:color w:val="000000"/>
              </w:rPr>
              <w:t>2</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R.2.3 -GAS/LNG STRG/PIPELINE</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92</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92</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R.3 TELECOMMUNICATION</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88219</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62</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88281</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R.4 INFRA-OTHERS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510970</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11393</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522363</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R.4.1 -WATER SANITATION</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376346</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2682</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color w:val="000000"/>
              </w:rPr>
            </w:pPr>
            <w:r>
              <w:rPr>
                <w:rFonts w:cs="Calibri"/>
                <w:color w:val="000000"/>
              </w:rPr>
              <w:t>379028</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r w:rsidRPr="001B74A7">
              <w:rPr>
                <w:rFonts w:cs="Calibri"/>
                <w:color w:val="000000"/>
              </w:rPr>
              <w:t>R.4.2 -SOCIAL &amp; COMM.</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134624</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8710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143334</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S.OTHER INDUSTRIES</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15147</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1203</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16350</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proofErr w:type="spellStart"/>
            <w:r w:rsidRPr="001B74A7">
              <w:rPr>
                <w:rFonts w:cs="Calibri"/>
                <w:b/>
                <w:bCs/>
                <w:color w:val="000000"/>
              </w:rPr>
              <w:t>T.Residuary</w:t>
            </w:r>
            <w:proofErr w:type="spellEnd"/>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4270985</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129743</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4400728</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proofErr w:type="spellStart"/>
            <w:r w:rsidRPr="001B74A7">
              <w:rPr>
                <w:rFonts w:cs="Calibri"/>
                <w:color w:val="000000"/>
              </w:rPr>
              <w:t>a.Education</w:t>
            </w:r>
            <w:proofErr w:type="spellEnd"/>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25828</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84</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25912</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color w:val="000000"/>
              </w:rPr>
            </w:pPr>
            <w:proofErr w:type="spellStart"/>
            <w:r w:rsidRPr="001B74A7">
              <w:rPr>
                <w:rFonts w:cs="Calibri"/>
                <w:color w:val="000000"/>
              </w:rPr>
              <w:t>b.Aviation</w:t>
            </w:r>
            <w:proofErr w:type="spellEnd"/>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154157</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0</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color w:val="000000"/>
              </w:rPr>
            </w:pPr>
            <w:r w:rsidRPr="001B74A7">
              <w:rPr>
                <w:rFonts w:cs="Calibri"/>
                <w:color w:val="000000"/>
              </w:rPr>
              <w:t>154157</w:t>
            </w:r>
          </w:p>
        </w:tc>
      </w:tr>
      <w:tr w:rsidR="001B74A7" w:rsidRPr="001B74A7" w:rsidTr="001B74A7">
        <w:trPr>
          <w:trHeight w:val="300"/>
        </w:trPr>
        <w:tc>
          <w:tcPr>
            <w:tcW w:w="2617" w:type="pct"/>
            <w:tcBorders>
              <w:top w:val="nil"/>
              <w:left w:val="single" w:sz="4" w:space="0" w:color="auto"/>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rPr>
                <w:rFonts w:cs="Calibri"/>
                <w:b/>
                <w:bCs/>
                <w:color w:val="000000"/>
              </w:rPr>
            </w:pPr>
            <w:r w:rsidRPr="001B74A7">
              <w:rPr>
                <w:rFonts w:cs="Calibri"/>
                <w:b/>
                <w:bCs/>
                <w:color w:val="000000"/>
              </w:rPr>
              <w:t>TOTAL</w:t>
            </w:r>
          </w:p>
        </w:tc>
        <w:tc>
          <w:tcPr>
            <w:tcW w:w="877"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6168533</w:t>
            </w:r>
          </w:p>
        </w:tc>
        <w:tc>
          <w:tcPr>
            <w:tcW w:w="739" w:type="pct"/>
            <w:tcBorders>
              <w:top w:val="nil"/>
              <w:left w:val="nil"/>
              <w:bottom w:val="single" w:sz="4" w:space="0" w:color="auto"/>
              <w:right w:val="single" w:sz="4" w:space="0" w:color="auto"/>
            </w:tcBorders>
            <w:shd w:val="clear" w:color="auto" w:fill="auto"/>
            <w:noWrap/>
            <w:vAlign w:val="bottom"/>
            <w:hideMark/>
          </w:tcPr>
          <w:p w:rsidR="001B74A7" w:rsidRPr="001B74A7" w:rsidRDefault="001B74A7" w:rsidP="001B74A7">
            <w:pPr>
              <w:spacing w:after="0" w:line="240" w:lineRule="auto"/>
              <w:jc w:val="right"/>
              <w:rPr>
                <w:rFonts w:cs="Calibri"/>
                <w:b/>
                <w:bCs/>
                <w:color w:val="000000"/>
              </w:rPr>
            </w:pPr>
            <w:r w:rsidRPr="001B74A7">
              <w:rPr>
                <w:rFonts w:cs="Calibri"/>
                <w:b/>
                <w:bCs/>
                <w:color w:val="000000"/>
              </w:rPr>
              <w:t>368511</w:t>
            </w:r>
          </w:p>
        </w:tc>
        <w:tc>
          <w:tcPr>
            <w:tcW w:w="767" w:type="pct"/>
            <w:tcBorders>
              <w:top w:val="nil"/>
              <w:left w:val="nil"/>
              <w:bottom w:val="single" w:sz="4" w:space="0" w:color="auto"/>
              <w:right w:val="single" w:sz="4" w:space="0" w:color="auto"/>
            </w:tcBorders>
            <w:shd w:val="clear" w:color="auto" w:fill="auto"/>
            <w:noWrap/>
            <w:vAlign w:val="bottom"/>
            <w:hideMark/>
          </w:tcPr>
          <w:p w:rsidR="001B74A7" w:rsidRPr="001B74A7" w:rsidRDefault="00462A3D" w:rsidP="001B74A7">
            <w:pPr>
              <w:spacing w:after="0" w:line="240" w:lineRule="auto"/>
              <w:jc w:val="right"/>
              <w:rPr>
                <w:rFonts w:cs="Calibri"/>
                <w:b/>
                <w:bCs/>
                <w:color w:val="000000"/>
              </w:rPr>
            </w:pPr>
            <w:r>
              <w:rPr>
                <w:rFonts w:cs="Calibri"/>
                <w:b/>
                <w:bCs/>
                <w:color w:val="000000"/>
              </w:rPr>
              <w:t>6537044</w:t>
            </w:r>
          </w:p>
        </w:tc>
      </w:tr>
    </w:tbl>
    <w:p w:rsidR="001B74A7" w:rsidRDefault="001B74A7" w:rsidP="00A76CA7">
      <w:pPr>
        <w:spacing w:after="0" w:line="240" w:lineRule="auto"/>
        <w:jc w:val="right"/>
        <w:rPr>
          <w:rFonts w:ascii="Times New Roman" w:hAnsi="Times New Roman" w:cs="Times New Roman"/>
        </w:rPr>
      </w:pPr>
    </w:p>
    <w:p w:rsidR="001B74A7" w:rsidRDefault="001B74A7" w:rsidP="00A76CA7">
      <w:pPr>
        <w:spacing w:after="0" w:line="240" w:lineRule="auto"/>
        <w:jc w:val="right"/>
        <w:rPr>
          <w:rFonts w:ascii="Times New Roman" w:hAnsi="Times New Roman" w:cs="Times New Roman"/>
        </w:rPr>
      </w:pPr>
    </w:p>
    <w:p w:rsidR="007344A8" w:rsidRPr="00CF58D3" w:rsidRDefault="007344A8" w:rsidP="007344A8">
      <w:pPr>
        <w:spacing w:after="0" w:line="240" w:lineRule="auto"/>
        <w:rPr>
          <w:rFonts w:ascii="Times New Roman" w:hAnsi="Times New Roman" w:cs="Times New Roman"/>
          <w:b/>
          <w:u w:val="single"/>
        </w:rPr>
      </w:pPr>
      <w:r w:rsidRPr="00CF58D3">
        <w:rPr>
          <w:rFonts w:ascii="Times New Roman" w:hAnsi="Times New Roman" w:cs="Times New Roman"/>
          <w:b/>
          <w:u w:val="single"/>
        </w:rPr>
        <w:t>Significant exposure:</w:t>
      </w:r>
    </w:p>
    <w:p w:rsidR="007344A8" w:rsidRPr="00CF58D3" w:rsidRDefault="007344A8" w:rsidP="007344A8">
      <w:pPr>
        <w:spacing w:after="0" w:line="240" w:lineRule="auto"/>
        <w:rPr>
          <w:rFonts w:ascii="Times New Roman" w:hAnsi="Times New Roman" w:cs="Times New Roman"/>
          <w:b/>
          <w:strike/>
          <w:u w:val="single"/>
        </w:rPr>
      </w:pPr>
    </w:p>
    <w:p w:rsidR="007344A8" w:rsidRPr="00CF58D3" w:rsidRDefault="007344A8" w:rsidP="007344A8">
      <w:pPr>
        <w:spacing w:after="0" w:line="240" w:lineRule="auto"/>
        <w:rPr>
          <w:rFonts w:ascii="Times New Roman" w:hAnsi="Times New Roman" w:cs="Times New Roman"/>
        </w:rPr>
      </w:pPr>
      <w:r w:rsidRPr="00CF58D3">
        <w:rPr>
          <w:rFonts w:ascii="Times New Roman" w:hAnsi="Times New Roman" w:cs="Times New Roman"/>
        </w:rPr>
        <w:t>Industry where the Total Exposure is more than 5% of Total Fund based and Non-fund based exposure:</w:t>
      </w:r>
    </w:p>
    <w:p w:rsidR="003F1B8D" w:rsidRPr="00CF58D3" w:rsidRDefault="003F1B8D" w:rsidP="007344A8">
      <w:pPr>
        <w:spacing w:after="0" w:line="240" w:lineRule="auto"/>
        <w:rPr>
          <w:rFonts w:ascii="Times New Roman" w:hAnsi="Times New Roman" w:cs="Times New Roman"/>
        </w:rPr>
      </w:pPr>
    </w:p>
    <w:p w:rsidR="007344A8" w:rsidRPr="00CF58D3" w:rsidRDefault="007344A8" w:rsidP="007344A8">
      <w:pPr>
        <w:spacing w:after="0" w:line="240" w:lineRule="auto"/>
        <w:jc w:val="right"/>
        <w:rPr>
          <w:rFonts w:ascii="Times New Roman" w:hAnsi="Times New Roman" w:cs="Times New Roman"/>
        </w:rPr>
      </w:pPr>
      <w:r w:rsidRPr="00CF58D3">
        <w:rPr>
          <w:rFonts w:ascii="Times New Roman" w:hAnsi="Times New Roman" w:cs="Times New Roman"/>
          <w:b/>
          <w:bCs/>
        </w:rPr>
        <w:t>Amt. in Lakhs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5148"/>
        <w:gridCol w:w="3118"/>
      </w:tblGrid>
      <w:tr w:rsidR="007344A8" w:rsidRPr="00CF58D3" w:rsidTr="00462A3D">
        <w:tc>
          <w:tcPr>
            <w:tcW w:w="1084" w:type="dxa"/>
          </w:tcPr>
          <w:p w:rsidR="007344A8" w:rsidRPr="00CF58D3" w:rsidRDefault="007344A8" w:rsidP="004C036A">
            <w:pPr>
              <w:spacing w:after="0"/>
              <w:rPr>
                <w:rFonts w:ascii="Times New Roman" w:hAnsi="Times New Roman" w:cs="Times New Roman"/>
                <w:b/>
                <w:bCs/>
              </w:rPr>
            </w:pPr>
            <w:proofErr w:type="spellStart"/>
            <w:r w:rsidRPr="00CF58D3">
              <w:rPr>
                <w:rFonts w:ascii="Times New Roman" w:hAnsi="Times New Roman" w:cs="Times New Roman"/>
                <w:b/>
                <w:bCs/>
              </w:rPr>
              <w:t>S.No</w:t>
            </w:r>
            <w:proofErr w:type="spellEnd"/>
            <w:r w:rsidRPr="00CF58D3">
              <w:rPr>
                <w:rFonts w:ascii="Times New Roman" w:hAnsi="Times New Roman" w:cs="Times New Roman"/>
                <w:b/>
                <w:bCs/>
              </w:rPr>
              <w:t>.</w:t>
            </w:r>
          </w:p>
        </w:tc>
        <w:tc>
          <w:tcPr>
            <w:tcW w:w="5148" w:type="dxa"/>
          </w:tcPr>
          <w:p w:rsidR="007344A8" w:rsidRPr="00CF58D3" w:rsidRDefault="007344A8" w:rsidP="004C036A">
            <w:pPr>
              <w:spacing w:after="0"/>
              <w:rPr>
                <w:rFonts w:ascii="Times New Roman" w:hAnsi="Times New Roman" w:cs="Times New Roman"/>
                <w:b/>
                <w:bCs/>
              </w:rPr>
            </w:pPr>
            <w:r w:rsidRPr="00CF58D3">
              <w:rPr>
                <w:rFonts w:ascii="Times New Roman" w:hAnsi="Times New Roman" w:cs="Times New Roman"/>
                <w:b/>
                <w:bCs/>
              </w:rPr>
              <w:t>Industry</w:t>
            </w:r>
          </w:p>
        </w:tc>
        <w:tc>
          <w:tcPr>
            <w:tcW w:w="3118" w:type="dxa"/>
          </w:tcPr>
          <w:p w:rsidR="007344A8" w:rsidRPr="00CF58D3" w:rsidRDefault="007344A8" w:rsidP="004C036A">
            <w:pPr>
              <w:spacing w:after="0"/>
              <w:jc w:val="center"/>
              <w:rPr>
                <w:rFonts w:ascii="Times New Roman" w:hAnsi="Times New Roman" w:cs="Times New Roman"/>
                <w:b/>
                <w:bCs/>
              </w:rPr>
            </w:pPr>
            <w:r w:rsidRPr="00CF58D3">
              <w:rPr>
                <w:rFonts w:ascii="Times New Roman" w:hAnsi="Times New Roman" w:cs="Times New Roman"/>
                <w:b/>
                <w:bCs/>
              </w:rPr>
              <w:t>Exposure</w:t>
            </w:r>
          </w:p>
        </w:tc>
      </w:tr>
      <w:tr w:rsidR="007344A8" w:rsidRPr="00CF58D3" w:rsidTr="00462A3D">
        <w:tc>
          <w:tcPr>
            <w:tcW w:w="1084" w:type="dxa"/>
          </w:tcPr>
          <w:p w:rsidR="007344A8" w:rsidRPr="00CF58D3" w:rsidRDefault="007344A8" w:rsidP="004C036A">
            <w:pPr>
              <w:spacing w:after="0"/>
              <w:rPr>
                <w:rFonts w:ascii="Times New Roman" w:hAnsi="Times New Roman" w:cs="Times New Roman"/>
              </w:rPr>
            </w:pPr>
            <w:r w:rsidRPr="00CF58D3">
              <w:rPr>
                <w:rFonts w:ascii="Times New Roman" w:hAnsi="Times New Roman" w:cs="Times New Roman"/>
              </w:rPr>
              <w:t xml:space="preserve">1 </w:t>
            </w:r>
          </w:p>
        </w:tc>
        <w:tc>
          <w:tcPr>
            <w:tcW w:w="5148" w:type="dxa"/>
            <w:vAlign w:val="bottom"/>
          </w:tcPr>
          <w:p w:rsidR="007344A8" w:rsidRPr="00CF58D3" w:rsidRDefault="007344A8" w:rsidP="004C036A">
            <w:pPr>
              <w:spacing w:after="0"/>
              <w:rPr>
                <w:rFonts w:ascii="Times New Roman" w:hAnsi="Times New Roman" w:cs="Times New Roman"/>
              </w:rPr>
            </w:pPr>
            <w:r w:rsidRPr="00CF58D3">
              <w:rPr>
                <w:rFonts w:ascii="Times New Roman" w:hAnsi="Times New Roman" w:cs="Times New Roman"/>
              </w:rPr>
              <w:t>Infrastructure</w:t>
            </w:r>
          </w:p>
        </w:tc>
        <w:tc>
          <w:tcPr>
            <w:tcW w:w="3118" w:type="dxa"/>
            <w:vAlign w:val="bottom"/>
          </w:tcPr>
          <w:p w:rsidR="001B74A7" w:rsidRDefault="001B74A7" w:rsidP="001B74A7">
            <w:pPr>
              <w:spacing w:after="0" w:line="240" w:lineRule="auto"/>
              <w:jc w:val="right"/>
              <w:rPr>
                <w:rFonts w:cs="Calibri"/>
                <w:b/>
                <w:bCs/>
                <w:color w:val="000000"/>
              </w:rPr>
            </w:pPr>
            <w:r>
              <w:rPr>
                <w:rFonts w:cs="Calibri"/>
                <w:b/>
                <w:bCs/>
                <w:color w:val="000000"/>
              </w:rPr>
              <w:t>1465028</w:t>
            </w:r>
          </w:p>
          <w:p w:rsidR="007344A8" w:rsidRPr="00CF58D3" w:rsidRDefault="007344A8" w:rsidP="00E74F53">
            <w:pPr>
              <w:spacing w:after="0" w:line="240" w:lineRule="auto"/>
              <w:jc w:val="right"/>
              <w:rPr>
                <w:rFonts w:ascii="Times New Roman" w:hAnsi="Times New Roman" w:cs="Times New Roman"/>
              </w:rPr>
            </w:pPr>
          </w:p>
        </w:tc>
      </w:tr>
    </w:tbl>
    <w:p w:rsidR="00EA1D3A" w:rsidRDefault="00EA1D3A" w:rsidP="00BD5579">
      <w:pPr>
        <w:spacing w:after="0" w:line="240" w:lineRule="auto"/>
        <w:rPr>
          <w:rFonts w:ascii="Times New Roman" w:hAnsi="Times New Roman" w:cs="Times New Roman"/>
          <w:b/>
          <w:u w:val="single"/>
        </w:rPr>
      </w:pPr>
    </w:p>
    <w:p w:rsidR="001B74A7" w:rsidRDefault="001B74A7" w:rsidP="00BD5579">
      <w:pPr>
        <w:spacing w:after="0" w:line="240" w:lineRule="auto"/>
        <w:rPr>
          <w:rFonts w:ascii="Times New Roman" w:hAnsi="Times New Roman" w:cs="Times New Roman"/>
          <w:b/>
          <w:u w:val="single"/>
        </w:rPr>
      </w:pPr>
    </w:p>
    <w:p w:rsidR="001B74A7" w:rsidRDefault="001B74A7" w:rsidP="00BD5579">
      <w:pPr>
        <w:spacing w:after="0" w:line="240" w:lineRule="auto"/>
        <w:rPr>
          <w:rFonts w:ascii="Times New Roman" w:hAnsi="Times New Roman" w:cs="Times New Roman"/>
          <w:b/>
          <w:u w:val="single"/>
        </w:rPr>
      </w:pPr>
    </w:p>
    <w:p w:rsidR="001B74A7" w:rsidRDefault="001B74A7" w:rsidP="00BD5579">
      <w:pPr>
        <w:spacing w:after="0" w:line="240" w:lineRule="auto"/>
        <w:rPr>
          <w:rFonts w:ascii="Times New Roman" w:hAnsi="Times New Roman" w:cs="Times New Roman"/>
          <w:b/>
          <w:u w:val="single"/>
        </w:rPr>
      </w:pPr>
    </w:p>
    <w:p w:rsidR="001B74A7" w:rsidRDefault="001B74A7" w:rsidP="00BD5579">
      <w:pPr>
        <w:spacing w:after="0" w:line="240" w:lineRule="auto"/>
        <w:rPr>
          <w:rFonts w:ascii="Times New Roman" w:hAnsi="Times New Roman" w:cs="Times New Roman"/>
          <w:b/>
          <w:u w:val="single"/>
        </w:rPr>
      </w:pPr>
    </w:p>
    <w:p w:rsidR="00462A3D" w:rsidRDefault="00462A3D" w:rsidP="00BD5579">
      <w:pPr>
        <w:spacing w:after="0" w:line="240" w:lineRule="auto"/>
        <w:rPr>
          <w:rFonts w:ascii="Times New Roman" w:hAnsi="Times New Roman" w:cs="Times New Roman"/>
          <w:b/>
          <w:u w:val="single"/>
        </w:rPr>
      </w:pPr>
    </w:p>
    <w:p w:rsidR="001B74A7" w:rsidRPr="00CF58D3" w:rsidRDefault="001B74A7" w:rsidP="00BD5579">
      <w:pPr>
        <w:spacing w:after="0" w:line="240" w:lineRule="auto"/>
        <w:rPr>
          <w:rFonts w:ascii="Times New Roman" w:hAnsi="Times New Roman" w:cs="Times New Roman"/>
          <w:b/>
          <w:u w:val="single"/>
        </w:rPr>
      </w:pPr>
    </w:p>
    <w:p w:rsidR="00A80BA9" w:rsidRPr="00CF58D3" w:rsidRDefault="00A80BA9" w:rsidP="00BD5579">
      <w:pPr>
        <w:spacing w:after="0" w:line="240" w:lineRule="auto"/>
        <w:rPr>
          <w:rFonts w:ascii="Times New Roman" w:hAnsi="Times New Roman" w:cs="Times New Roman"/>
          <w:b/>
          <w:color w:val="FF0000"/>
          <w:u w:val="single"/>
        </w:rPr>
      </w:pPr>
    </w:p>
    <w:p w:rsidR="00BD5579" w:rsidRPr="00CF58D3" w:rsidRDefault="00BD5579" w:rsidP="00BD5579">
      <w:pPr>
        <w:spacing w:after="0" w:line="240" w:lineRule="auto"/>
        <w:rPr>
          <w:rFonts w:ascii="Times New Roman" w:hAnsi="Times New Roman" w:cs="Times New Roman"/>
          <w:b/>
          <w:color w:val="000000" w:themeColor="text1"/>
          <w:u w:val="single"/>
        </w:rPr>
      </w:pPr>
      <w:r w:rsidRPr="00CF58D3">
        <w:rPr>
          <w:rFonts w:ascii="Times New Roman" w:hAnsi="Times New Roman" w:cs="Times New Roman"/>
          <w:b/>
          <w:color w:val="000000" w:themeColor="text1"/>
          <w:u w:val="single"/>
        </w:rPr>
        <w:lastRenderedPageBreak/>
        <w:t>RESIDUAL CONTRACTUAL MATURITY BREAKDOWN OF ASSETS</w:t>
      </w:r>
    </w:p>
    <w:p w:rsidR="00BD5579" w:rsidRPr="00CF58D3" w:rsidRDefault="00BD5579" w:rsidP="00BD5579">
      <w:pPr>
        <w:spacing w:after="0" w:line="240" w:lineRule="auto"/>
        <w:jc w:val="right"/>
        <w:rPr>
          <w:rFonts w:ascii="Times New Roman" w:hAnsi="Times New Roman" w:cs="Times New Roman"/>
          <w:color w:val="000000" w:themeColor="text1"/>
        </w:rPr>
      </w:pPr>
      <w:r w:rsidRPr="00CF58D3">
        <w:rPr>
          <w:rFonts w:ascii="Times New Roman" w:hAnsi="Times New Roman" w:cs="Times New Roman"/>
          <w:b/>
          <w:bCs/>
          <w:color w:val="000000" w:themeColor="text1"/>
        </w:rPr>
        <w:t>Amt. in Lakhs</w:t>
      </w:r>
    </w:p>
    <w:tbl>
      <w:tblPr>
        <w:tblW w:w="10643" w:type="dxa"/>
        <w:tblInd w:w="-342" w:type="dxa"/>
        <w:tblLook w:val="04A0" w:firstRow="1" w:lastRow="0" w:firstColumn="1" w:lastColumn="0" w:noHBand="0" w:noVBand="1"/>
      </w:tblPr>
      <w:tblGrid>
        <w:gridCol w:w="2520"/>
        <w:gridCol w:w="1439"/>
        <w:gridCol w:w="1818"/>
        <w:gridCol w:w="1158"/>
        <w:gridCol w:w="1036"/>
        <w:gridCol w:w="1356"/>
        <w:gridCol w:w="1316"/>
      </w:tblGrid>
      <w:tr w:rsidR="004F61E6" w:rsidRPr="002D767A" w:rsidTr="00F65B94">
        <w:trPr>
          <w:trHeight w:val="320"/>
        </w:trPr>
        <w:tc>
          <w:tcPr>
            <w:tcW w:w="2520" w:type="dxa"/>
            <w:tcBorders>
              <w:top w:val="single" w:sz="8" w:space="0" w:color="auto"/>
              <w:left w:val="single" w:sz="8" w:space="0" w:color="auto"/>
              <w:bottom w:val="nil"/>
              <w:right w:val="nil"/>
            </w:tcBorders>
            <w:shd w:val="clear" w:color="auto" w:fill="auto"/>
            <w:noWrap/>
            <w:vAlign w:val="center"/>
            <w:hideMark/>
          </w:tcPr>
          <w:p w:rsidR="00BD5579" w:rsidRPr="00F2294D" w:rsidRDefault="00BD5579" w:rsidP="00564DA7">
            <w:pPr>
              <w:spacing w:after="0" w:line="240" w:lineRule="auto"/>
              <w:jc w:val="center"/>
              <w:rPr>
                <w:rFonts w:ascii="Times New Roman" w:hAnsi="Times New Roman" w:cs="Times New Roman"/>
                <w:b/>
                <w:bCs/>
                <w:color w:val="000000" w:themeColor="text1"/>
                <w:lang w:bidi="pa-IN"/>
              </w:rPr>
            </w:pPr>
            <w:bookmarkStart w:id="0" w:name="OLE_LINK1"/>
            <w:r w:rsidRPr="00F2294D">
              <w:rPr>
                <w:rFonts w:ascii="Times New Roman" w:hAnsi="Times New Roman" w:cs="Times New Roman"/>
                <w:b/>
                <w:bCs/>
                <w:color w:val="000000" w:themeColor="text1"/>
                <w:lang w:bidi="pa-IN"/>
              </w:rPr>
              <w:t>Maturity Pattern's</w:t>
            </w:r>
          </w:p>
        </w:tc>
        <w:tc>
          <w:tcPr>
            <w:tcW w:w="1439" w:type="dxa"/>
            <w:tcBorders>
              <w:top w:val="single" w:sz="8" w:space="0" w:color="auto"/>
              <w:left w:val="single" w:sz="8" w:space="0" w:color="auto"/>
              <w:bottom w:val="nil"/>
              <w:right w:val="single" w:sz="8" w:space="0" w:color="auto"/>
            </w:tcBorders>
            <w:shd w:val="clear" w:color="auto" w:fill="auto"/>
            <w:noWrap/>
            <w:vAlign w:val="center"/>
            <w:hideMark/>
          </w:tcPr>
          <w:p w:rsidR="00BD5579" w:rsidRPr="00F2294D" w:rsidRDefault="00BD5579" w:rsidP="00564DA7">
            <w:pPr>
              <w:spacing w:after="0" w:line="240" w:lineRule="auto"/>
              <w:jc w:val="center"/>
              <w:rPr>
                <w:rFonts w:ascii="Times New Roman" w:hAnsi="Times New Roman" w:cs="Times New Roman"/>
                <w:b/>
                <w:bCs/>
                <w:color w:val="000000" w:themeColor="text1"/>
                <w:lang w:bidi="pa-IN"/>
              </w:rPr>
            </w:pPr>
            <w:r w:rsidRPr="00F2294D">
              <w:rPr>
                <w:rFonts w:ascii="Times New Roman" w:hAnsi="Times New Roman" w:cs="Times New Roman"/>
                <w:b/>
                <w:bCs/>
                <w:color w:val="000000" w:themeColor="text1"/>
                <w:lang w:bidi="pa-IN"/>
              </w:rPr>
              <w:t>Loans &amp;</w:t>
            </w:r>
          </w:p>
        </w:tc>
        <w:tc>
          <w:tcPr>
            <w:tcW w:w="1818" w:type="dxa"/>
            <w:tcBorders>
              <w:top w:val="single" w:sz="8" w:space="0" w:color="auto"/>
              <w:left w:val="nil"/>
              <w:bottom w:val="nil"/>
              <w:right w:val="single" w:sz="8" w:space="0" w:color="auto"/>
            </w:tcBorders>
            <w:shd w:val="clear" w:color="auto" w:fill="auto"/>
            <w:noWrap/>
            <w:vAlign w:val="center"/>
            <w:hideMark/>
          </w:tcPr>
          <w:p w:rsidR="00BD5579" w:rsidRPr="00F2294D" w:rsidRDefault="00BD5579" w:rsidP="00564DA7">
            <w:pPr>
              <w:spacing w:after="0" w:line="240" w:lineRule="auto"/>
              <w:jc w:val="center"/>
              <w:rPr>
                <w:rFonts w:ascii="Times New Roman" w:hAnsi="Times New Roman" w:cs="Times New Roman"/>
                <w:b/>
                <w:bCs/>
                <w:color w:val="000000" w:themeColor="text1"/>
                <w:lang w:bidi="pa-IN"/>
              </w:rPr>
            </w:pPr>
            <w:r w:rsidRPr="00F2294D">
              <w:rPr>
                <w:rFonts w:ascii="Times New Roman" w:hAnsi="Times New Roman" w:cs="Times New Roman"/>
                <w:b/>
                <w:bCs/>
                <w:color w:val="000000" w:themeColor="text1"/>
                <w:lang w:bidi="pa-IN"/>
              </w:rPr>
              <w:t>Investments</w:t>
            </w:r>
          </w:p>
        </w:tc>
        <w:tc>
          <w:tcPr>
            <w:tcW w:w="219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BD5579" w:rsidRPr="00F2294D" w:rsidRDefault="00BD5579" w:rsidP="00564DA7">
            <w:pPr>
              <w:spacing w:after="0" w:line="240" w:lineRule="auto"/>
              <w:jc w:val="center"/>
              <w:rPr>
                <w:rFonts w:ascii="Times New Roman" w:hAnsi="Times New Roman" w:cs="Times New Roman"/>
                <w:b/>
                <w:bCs/>
                <w:color w:val="000000" w:themeColor="text1"/>
                <w:lang w:bidi="pa-IN"/>
              </w:rPr>
            </w:pPr>
            <w:r w:rsidRPr="00F2294D">
              <w:rPr>
                <w:rFonts w:ascii="Times New Roman" w:hAnsi="Times New Roman" w:cs="Times New Roman"/>
                <w:b/>
                <w:bCs/>
                <w:color w:val="000000" w:themeColor="text1"/>
                <w:lang w:bidi="pa-IN"/>
              </w:rPr>
              <w:t>Foreign Currency</w:t>
            </w:r>
          </w:p>
        </w:tc>
        <w:tc>
          <w:tcPr>
            <w:tcW w:w="13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D5579" w:rsidRPr="00F2294D" w:rsidRDefault="00BD5579" w:rsidP="00564DA7">
            <w:pPr>
              <w:spacing w:after="0" w:line="240" w:lineRule="auto"/>
              <w:jc w:val="center"/>
              <w:rPr>
                <w:rFonts w:ascii="Times New Roman" w:hAnsi="Times New Roman" w:cs="Times New Roman"/>
                <w:b/>
                <w:bCs/>
                <w:color w:val="000000" w:themeColor="text1"/>
                <w:lang w:bidi="pa-IN"/>
              </w:rPr>
            </w:pPr>
            <w:r w:rsidRPr="00F2294D">
              <w:rPr>
                <w:rFonts w:ascii="Times New Roman" w:hAnsi="Times New Roman" w:cs="Times New Roman"/>
                <w:b/>
                <w:bCs/>
                <w:color w:val="000000" w:themeColor="text1"/>
                <w:lang w:bidi="pa-IN"/>
              </w:rPr>
              <w:t>Deposits</w:t>
            </w:r>
          </w:p>
        </w:tc>
        <w:tc>
          <w:tcPr>
            <w:tcW w:w="131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BD5579" w:rsidRPr="00F2294D" w:rsidRDefault="00BD5579" w:rsidP="00564DA7">
            <w:pPr>
              <w:spacing w:after="0" w:line="240" w:lineRule="auto"/>
              <w:jc w:val="center"/>
              <w:rPr>
                <w:rFonts w:ascii="Times New Roman" w:hAnsi="Times New Roman" w:cs="Times New Roman"/>
                <w:b/>
                <w:bCs/>
                <w:color w:val="000000" w:themeColor="text1"/>
                <w:lang w:bidi="pa-IN"/>
              </w:rPr>
            </w:pPr>
            <w:r w:rsidRPr="00F2294D">
              <w:rPr>
                <w:rFonts w:ascii="Times New Roman" w:hAnsi="Times New Roman" w:cs="Times New Roman"/>
                <w:b/>
                <w:bCs/>
                <w:color w:val="000000" w:themeColor="text1"/>
                <w:lang w:bidi="pa-IN"/>
              </w:rPr>
              <w:t>Borrowings</w:t>
            </w:r>
          </w:p>
        </w:tc>
      </w:tr>
      <w:tr w:rsidR="004F61E6" w:rsidRPr="002D767A" w:rsidTr="00F65B94">
        <w:trPr>
          <w:trHeight w:val="335"/>
        </w:trPr>
        <w:tc>
          <w:tcPr>
            <w:tcW w:w="2520" w:type="dxa"/>
            <w:tcBorders>
              <w:top w:val="nil"/>
              <w:left w:val="single" w:sz="8" w:space="0" w:color="auto"/>
              <w:bottom w:val="single" w:sz="8" w:space="0" w:color="auto"/>
              <w:right w:val="nil"/>
            </w:tcBorders>
            <w:shd w:val="clear" w:color="auto" w:fill="auto"/>
            <w:noWrap/>
            <w:vAlign w:val="center"/>
            <w:hideMark/>
          </w:tcPr>
          <w:p w:rsidR="00BD5579" w:rsidRPr="00F2294D" w:rsidRDefault="00BD5579" w:rsidP="00564DA7">
            <w:pPr>
              <w:spacing w:after="0" w:line="240" w:lineRule="auto"/>
              <w:jc w:val="center"/>
              <w:rPr>
                <w:rFonts w:ascii="Times New Roman" w:hAnsi="Times New Roman" w:cs="Times New Roman"/>
                <w:b/>
                <w:bCs/>
                <w:color w:val="000000" w:themeColor="text1"/>
                <w:lang w:bidi="pa-IN"/>
              </w:rPr>
            </w:pPr>
            <w:r w:rsidRPr="00F2294D">
              <w:rPr>
                <w:rFonts w:ascii="Times New Roman" w:hAnsi="Times New Roman" w:cs="Times New Roman"/>
                <w:b/>
                <w:bCs/>
                <w:color w:val="000000" w:themeColor="text1"/>
                <w:lang w:bidi="pa-IN"/>
              </w:rPr>
              <w:t>(Time Buckets)</w:t>
            </w:r>
          </w:p>
        </w:tc>
        <w:tc>
          <w:tcPr>
            <w:tcW w:w="1439" w:type="dxa"/>
            <w:tcBorders>
              <w:top w:val="nil"/>
              <w:left w:val="single" w:sz="8" w:space="0" w:color="auto"/>
              <w:bottom w:val="nil"/>
              <w:right w:val="single" w:sz="8" w:space="0" w:color="auto"/>
            </w:tcBorders>
            <w:shd w:val="clear" w:color="auto" w:fill="auto"/>
            <w:noWrap/>
            <w:vAlign w:val="center"/>
            <w:hideMark/>
          </w:tcPr>
          <w:p w:rsidR="00BD5579" w:rsidRPr="005B65EE" w:rsidRDefault="00BD5579" w:rsidP="00564DA7">
            <w:pPr>
              <w:spacing w:after="0" w:line="240" w:lineRule="auto"/>
              <w:jc w:val="center"/>
              <w:rPr>
                <w:rFonts w:ascii="Times New Roman" w:hAnsi="Times New Roman" w:cs="Times New Roman"/>
                <w:b/>
                <w:bCs/>
                <w:color w:val="000000" w:themeColor="text1"/>
                <w:lang w:bidi="pa-IN"/>
              </w:rPr>
            </w:pPr>
            <w:r w:rsidRPr="005B65EE">
              <w:rPr>
                <w:rFonts w:ascii="Times New Roman" w:hAnsi="Times New Roman" w:cs="Times New Roman"/>
                <w:b/>
                <w:bCs/>
                <w:color w:val="000000" w:themeColor="text1"/>
                <w:lang w:bidi="pa-IN"/>
              </w:rPr>
              <w:t>Advances</w:t>
            </w:r>
          </w:p>
        </w:tc>
        <w:tc>
          <w:tcPr>
            <w:tcW w:w="1818" w:type="dxa"/>
            <w:tcBorders>
              <w:top w:val="nil"/>
              <w:left w:val="nil"/>
              <w:bottom w:val="nil"/>
              <w:right w:val="single" w:sz="8" w:space="0" w:color="auto"/>
            </w:tcBorders>
            <w:shd w:val="clear" w:color="auto" w:fill="auto"/>
            <w:noWrap/>
            <w:vAlign w:val="center"/>
            <w:hideMark/>
          </w:tcPr>
          <w:p w:rsidR="00BD5579" w:rsidRPr="005B65EE" w:rsidRDefault="00BD5579" w:rsidP="00564DA7">
            <w:pPr>
              <w:spacing w:after="0" w:line="240" w:lineRule="auto"/>
              <w:jc w:val="center"/>
              <w:rPr>
                <w:rFonts w:ascii="Times New Roman" w:hAnsi="Times New Roman" w:cs="Times New Roman"/>
                <w:b/>
                <w:bCs/>
                <w:color w:val="000000" w:themeColor="text1"/>
                <w:lang w:bidi="pa-IN"/>
              </w:rPr>
            </w:pPr>
            <w:r w:rsidRPr="005B65EE">
              <w:rPr>
                <w:rFonts w:ascii="Times New Roman" w:hAnsi="Times New Roman" w:cs="Times New Roman"/>
                <w:b/>
                <w:bCs/>
                <w:color w:val="000000" w:themeColor="text1"/>
                <w:lang w:bidi="pa-IN"/>
              </w:rPr>
              <w:t>(Book Value)</w:t>
            </w:r>
          </w:p>
        </w:tc>
        <w:tc>
          <w:tcPr>
            <w:tcW w:w="1158" w:type="dxa"/>
            <w:tcBorders>
              <w:top w:val="nil"/>
              <w:left w:val="nil"/>
              <w:bottom w:val="nil"/>
              <w:right w:val="single" w:sz="4" w:space="0" w:color="auto"/>
            </w:tcBorders>
            <w:shd w:val="clear" w:color="auto" w:fill="auto"/>
            <w:noWrap/>
            <w:vAlign w:val="center"/>
            <w:hideMark/>
          </w:tcPr>
          <w:p w:rsidR="00BD5579" w:rsidRPr="005B65EE" w:rsidRDefault="00BD5579" w:rsidP="00564DA7">
            <w:pPr>
              <w:spacing w:after="0" w:line="240" w:lineRule="auto"/>
              <w:jc w:val="center"/>
              <w:rPr>
                <w:rFonts w:ascii="Times New Roman" w:hAnsi="Times New Roman" w:cs="Times New Roman"/>
                <w:b/>
                <w:bCs/>
                <w:color w:val="000000" w:themeColor="text1"/>
                <w:lang w:bidi="pa-IN"/>
              </w:rPr>
            </w:pPr>
            <w:r w:rsidRPr="005B65EE">
              <w:rPr>
                <w:rFonts w:ascii="Times New Roman" w:hAnsi="Times New Roman" w:cs="Times New Roman"/>
                <w:b/>
                <w:bCs/>
                <w:color w:val="000000" w:themeColor="text1"/>
                <w:lang w:bidi="pa-IN"/>
              </w:rPr>
              <w:t>Liabilities</w:t>
            </w:r>
          </w:p>
        </w:tc>
        <w:tc>
          <w:tcPr>
            <w:tcW w:w="1036" w:type="dxa"/>
            <w:tcBorders>
              <w:top w:val="nil"/>
              <w:left w:val="nil"/>
              <w:bottom w:val="nil"/>
              <w:right w:val="single" w:sz="8" w:space="0" w:color="auto"/>
            </w:tcBorders>
            <w:shd w:val="clear" w:color="auto" w:fill="auto"/>
            <w:noWrap/>
            <w:vAlign w:val="center"/>
            <w:hideMark/>
          </w:tcPr>
          <w:p w:rsidR="00BD5579" w:rsidRPr="005B65EE" w:rsidRDefault="00BD5579" w:rsidP="00564DA7">
            <w:pPr>
              <w:spacing w:after="0" w:line="240" w:lineRule="auto"/>
              <w:jc w:val="center"/>
              <w:rPr>
                <w:rFonts w:ascii="Times New Roman" w:hAnsi="Times New Roman" w:cs="Times New Roman"/>
                <w:b/>
                <w:bCs/>
                <w:color w:val="000000" w:themeColor="text1"/>
                <w:lang w:bidi="pa-IN"/>
              </w:rPr>
            </w:pPr>
            <w:r w:rsidRPr="005B65EE">
              <w:rPr>
                <w:rFonts w:ascii="Times New Roman" w:hAnsi="Times New Roman" w:cs="Times New Roman"/>
                <w:b/>
                <w:bCs/>
                <w:color w:val="000000" w:themeColor="text1"/>
                <w:lang w:bidi="pa-IN"/>
              </w:rPr>
              <w:t>Assets</w:t>
            </w:r>
          </w:p>
        </w:tc>
        <w:tc>
          <w:tcPr>
            <w:tcW w:w="1356" w:type="dxa"/>
            <w:vMerge/>
            <w:tcBorders>
              <w:top w:val="single" w:sz="8" w:space="0" w:color="auto"/>
              <w:left w:val="single" w:sz="8" w:space="0" w:color="auto"/>
              <w:bottom w:val="nil"/>
              <w:right w:val="single" w:sz="8" w:space="0" w:color="auto"/>
            </w:tcBorders>
            <w:vAlign w:val="center"/>
            <w:hideMark/>
          </w:tcPr>
          <w:p w:rsidR="00BD5579" w:rsidRPr="002D767A" w:rsidRDefault="00BD5579" w:rsidP="00564DA7">
            <w:pPr>
              <w:spacing w:after="0" w:line="240" w:lineRule="auto"/>
              <w:jc w:val="center"/>
              <w:rPr>
                <w:rFonts w:ascii="Times New Roman" w:hAnsi="Times New Roman" w:cs="Times New Roman"/>
                <w:b/>
                <w:bCs/>
                <w:color w:val="000000" w:themeColor="text1"/>
                <w:highlight w:val="yellow"/>
                <w:lang w:bidi="pa-IN"/>
              </w:rPr>
            </w:pPr>
          </w:p>
        </w:tc>
        <w:tc>
          <w:tcPr>
            <w:tcW w:w="1316" w:type="dxa"/>
            <w:vMerge/>
            <w:tcBorders>
              <w:top w:val="single" w:sz="8" w:space="0" w:color="auto"/>
              <w:left w:val="single" w:sz="8" w:space="0" w:color="auto"/>
              <w:bottom w:val="nil"/>
              <w:right w:val="single" w:sz="8" w:space="0" w:color="auto"/>
            </w:tcBorders>
            <w:vAlign w:val="center"/>
            <w:hideMark/>
          </w:tcPr>
          <w:p w:rsidR="00BD5579" w:rsidRPr="002D767A" w:rsidRDefault="00BD5579" w:rsidP="00564DA7">
            <w:pPr>
              <w:spacing w:after="0" w:line="240" w:lineRule="auto"/>
              <w:jc w:val="center"/>
              <w:rPr>
                <w:rFonts w:ascii="Times New Roman" w:hAnsi="Times New Roman" w:cs="Times New Roman"/>
                <w:b/>
                <w:bCs/>
                <w:color w:val="000000" w:themeColor="text1"/>
                <w:highlight w:val="yellow"/>
                <w:lang w:bidi="pa-IN"/>
              </w:rPr>
            </w:pPr>
          </w:p>
        </w:tc>
      </w:tr>
      <w:tr w:rsidR="0084621C" w:rsidRPr="002D767A" w:rsidTr="00656F0B">
        <w:trPr>
          <w:trHeight w:val="335"/>
        </w:trPr>
        <w:tc>
          <w:tcPr>
            <w:tcW w:w="2520" w:type="dxa"/>
            <w:tcBorders>
              <w:top w:val="nil"/>
              <w:left w:val="single" w:sz="8" w:space="0" w:color="auto"/>
              <w:bottom w:val="single" w:sz="4" w:space="0" w:color="auto"/>
              <w:right w:val="nil"/>
            </w:tcBorders>
            <w:shd w:val="clear" w:color="000000" w:fill="FFFFFF"/>
            <w:noWrap/>
            <w:vAlign w:val="center"/>
            <w:hideMark/>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Next 1 Day</w:t>
            </w:r>
          </w:p>
        </w:tc>
        <w:tc>
          <w:tcPr>
            <w:tcW w:w="1439" w:type="dxa"/>
            <w:tcBorders>
              <w:top w:val="single" w:sz="8" w:space="0" w:color="auto"/>
              <w:left w:val="single" w:sz="8" w:space="0" w:color="auto"/>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918</w:t>
            </w:r>
            <w:r w:rsidR="00265346">
              <w:rPr>
                <w:rFonts w:ascii="Times New Roman" w:hAnsi="Times New Roman" w:cs="Times New Roman"/>
                <w:color w:val="000000" w:themeColor="text1"/>
                <w:lang w:bidi="pa-IN"/>
              </w:rPr>
              <w:t>00</w:t>
            </w:r>
          </w:p>
        </w:tc>
        <w:tc>
          <w:tcPr>
            <w:tcW w:w="1818"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265346" w:rsidP="0084621C">
            <w:pPr>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3610</w:t>
            </w:r>
            <w:r w:rsidR="0084621C" w:rsidRPr="0084621C">
              <w:rPr>
                <w:rFonts w:ascii="Times New Roman" w:hAnsi="Times New Roman" w:cs="Times New Roman"/>
                <w:color w:val="000000" w:themeColor="text1"/>
                <w:lang w:bidi="pa-IN"/>
              </w:rPr>
              <w:t>42</w:t>
            </w:r>
          </w:p>
        </w:tc>
        <w:tc>
          <w:tcPr>
            <w:tcW w:w="1158" w:type="dxa"/>
            <w:tcBorders>
              <w:top w:val="single" w:sz="8" w:space="0" w:color="auto"/>
              <w:left w:val="nil"/>
              <w:bottom w:val="single" w:sz="4" w:space="0" w:color="auto"/>
              <w:right w:val="single" w:sz="8" w:space="0" w:color="auto"/>
            </w:tcBorders>
            <w:shd w:val="clear" w:color="auto" w:fill="auto"/>
            <w:noWrap/>
            <w:vAlign w:val="center"/>
          </w:tcPr>
          <w:p w:rsidR="0084621C" w:rsidRPr="0070636B" w:rsidRDefault="0070636B" w:rsidP="0070636B">
            <w:pPr>
              <w:spacing w:after="0" w:line="240" w:lineRule="auto"/>
              <w:rPr>
                <w:rFonts w:ascii="Times New Roman" w:hAnsi="Times New Roman" w:cs="Times New Roman"/>
              </w:rPr>
            </w:pPr>
            <w:r w:rsidRPr="0070636B">
              <w:rPr>
                <w:rFonts w:ascii="Times New Roman" w:hAnsi="Times New Roman" w:cs="Times New Roman"/>
              </w:rPr>
              <w:t xml:space="preserve">      1105</w:t>
            </w:r>
          </w:p>
        </w:tc>
        <w:tc>
          <w:tcPr>
            <w:tcW w:w="1036" w:type="dxa"/>
            <w:tcBorders>
              <w:top w:val="single" w:sz="8" w:space="0" w:color="auto"/>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9864</w:t>
            </w:r>
          </w:p>
        </w:tc>
        <w:tc>
          <w:tcPr>
            <w:tcW w:w="135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550</w:t>
            </w:r>
            <w:r w:rsidR="0084621C" w:rsidRPr="0084621C">
              <w:rPr>
                <w:rFonts w:ascii="Times New Roman" w:hAnsi="Times New Roman" w:cs="Times New Roman"/>
                <w:color w:val="000000" w:themeColor="text1"/>
                <w:lang w:bidi="pa-IN"/>
              </w:rPr>
              <w:t>74</w:t>
            </w:r>
          </w:p>
        </w:tc>
        <w:tc>
          <w:tcPr>
            <w:tcW w:w="131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265346" w:rsidP="0084621C">
            <w:pPr>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4</w:t>
            </w:r>
            <w:r w:rsidR="0084621C" w:rsidRPr="0084621C">
              <w:rPr>
                <w:rFonts w:ascii="Times New Roman" w:hAnsi="Times New Roman" w:cs="Times New Roman"/>
                <w:color w:val="000000" w:themeColor="text1"/>
                <w:lang w:bidi="pa-IN"/>
              </w:rPr>
              <w:t>00</w:t>
            </w:r>
          </w:p>
        </w:tc>
      </w:tr>
      <w:tr w:rsidR="0084621C" w:rsidRPr="002D767A" w:rsidTr="00656F0B">
        <w:trPr>
          <w:trHeight w:val="335"/>
        </w:trPr>
        <w:tc>
          <w:tcPr>
            <w:tcW w:w="2520" w:type="dxa"/>
            <w:tcBorders>
              <w:top w:val="nil"/>
              <w:left w:val="single" w:sz="8" w:space="0" w:color="auto"/>
              <w:bottom w:val="single" w:sz="4" w:space="0" w:color="auto"/>
              <w:right w:val="nil"/>
            </w:tcBorders>
            <w:shd w:val="clear" w:color="000000" w:fill="FFFFFF"/>
            <w:noWrap/>
            <w:vAlign w:val="center"/>
            <w:hideMark/>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2 Days To 7 Days</w:t>
            </w:r>
          </w:p>
        </w:tc>
        <w:tc>
          <w:tcPr>
            <w:tcW w:w="1439" w:type="dxa"/>
            <w:tcBorders>
              <w:top w:val="nil"/>
              <w:left w:val="single" w:sz="8" w:space="0" w:color="auto"/>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1001</w:t>
            </w:r>
            <w:r w:rsidR="00265346">
              <w:rPr>
                <w:rFonts w:ascii="Times New Roman" w:hAnsi="Times New Roman" w:cs="Times New Roman"/>
                <w:color w:val="000000" w:themeColor="text1"/>
                <w:lang w:bidi="pa-IN"/>
              </w:rPr>
              <w:t>00</w:t>
            </w:r>
          </w:p>
        </w:tc>
        <w:tc>
          <w:tcPr>
            <w:tcW w:w="1818"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331</w:t>
            </w:r>
            <w:r w:rsidR="0084621C" w:rsidRPr="0084621C">
              <w:rPr>
                <w:rFonts w:ascii="Times New Roman" w:hAnsi="Times New Roman" w:cs="Times New Roman"/>
                <w:color w:val="000000" w:themeColor="text1"/>
                <w:lang w:bidi="pa-IN"/>
              </w:rPr>
              <w:t>91</w:t>
            </w:r>
          </w:p>
        </w:tc>
        <w:tc>
          <w:tcPr>
            <w:tcW w:w="1158"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286</w:t>
            </w:r>
          </w:p>
        </w:tc>
        <w:tc>
          <w:tcPr>
            <w:tcW w:w="1036"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1010</w:t>
            </w:r>
          </w:p>
        </w:tc>
        <w:tc>
          <w:tcPr>
            <w:tcW w:w="1356"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718</w:t>
            </w:r>
            <w:r w:rsidR="0084621C" w:rsidRPr="0084621C">
              <w:rPr>
                <w:rFonts w:ascii="Times New Roman" w:hAnsi="Times New Roman" w:cs="Times New Roman"/>
                <w:color w:val="000000" w:themeColor="text1"/>
                <w:lang w:bidi="pa-IN"/>
              </w:rPr>
              <w:t>70</w:t>
            </w:r>
          </w:p>
        </w:tc>
        <w:tc>
          <w:tcPr>
            <w:tcW w:w="131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0.00</w:t>
            </w:r>
          </w:p>
        </w:tc>
      </w:tr>
      <w:tr w:rsidR="0084621C" w:rsidRPr="002D767A" w:rsidTr="00656F0B">
        <w:trPr>
          <w:trHeight w:val="335"/>
        </w:trPr>
        <w:tc>
          <w:tcPr>
            <w:tcW w:w="2520" w:type="dxa"/>
            <w:tcBorders>
              <w:top w:val="nil"/>
              <w:left w:val="single" w:sz="8" w:space="0" w:color="auto"/>
              <w:bottom w:val="single" w:sz="4" w:space="0" w:color="auto"/>
              <w:right w:val="nil"/>
            </w:tcBorders>
            <w:shd w:val="clear" w:color="000000" w:fill="FFFFFF"/>
            <w:noWrap/>
            <w:vAlign w:val="center"/>
            <w:hideMark/>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8 Days To 14 Days</w:t>
            </w:r>
          </w:p>
        </w:tc>
        <w:tc>
          <w:tcPr>
            <w:tcW w:w="1439" w:type="dxa"/>
            <w:tcBorders>
              <w:top w:val="nil"/>
              <w:left w:val="single" w:sz="8" w:space="0" w:color="auto"/>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828</w:t>
            </w:r>
            <w:r w:rsidR="00265346">
              <w:rPr>
                <w:rFonts w:ascii="Times New Roman" w:hAnsi="Times New Roman" w:cs="Times New Roman"/>
                <w:color w:val="000000" w:themeColor="text1"/>
                <w:lang w:bidi="pa-IN"/>
              </w:rPr>
              <w:t>00</w:t>
            </w:r>
          </w:p>
        </w:tc>
        <w:tc>
          <w:tcPr>
            <w:tcW w:w="1818"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182</w:t>
            </w:r>
            <w:r w:rsidR="0084621C" w:rsidRPr="0084621C">
              <w:rPr>
                <w:rFonts w:ascii="Times New Roman" w:hAnsi="Times New Roman" w:cs="Times New Roman"/>
                <w:color w:val="000000" w:themeColor="text1"/>
                <w:lang w:bidi="pa-IN"/>
              </w:rPr>
              <w:t>10</w:t>
            </w:r>
          </w:p>
        </w:tc>
        <w:tc>
          <w:tcPr>
            <w:tcW w:w="1158"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203</w:t>
            </w:r>
          </w:p>
        </w:tc>
        <w:tc>
          <w:tcPr>
            <w:tcW w:w="1036"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1036</w:t>
            </w:r>
          </w:p>
        </w:tc>
        <w:tc>
          <w:tcPr>
            <w:tcW w:w="1356"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800</w:t>
            </w:r>
            <w:r w:rsidR="0084621C" w:rsidRPr="0084621C">
              <w:rPr>
                <w:rFonts w:ascii="Times New Roman" w:hAnsi="Times New Roman" w:cs="Times New Roman"/>
                <w:color w:val="000000" w:themeColor="text1"/>
                <w:lang w:bidi="pa-IN"/>
              </w:rPr>
              <w:t>49</w:t>
            </w:r>
          </w:p>
        </w:tc>
        <w:tc>
          <w:tcPr>
            <w:tcW w:w="131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0.00</w:t>
            </w:r>
          </w:p>
        </w:tc>
      </w:tr>
      <w:tr w:rsidR="0084621C" w:rsidRPr="002D767A" w:rsidTr="00656F0B">
        <w:trPr>
          <w:trHeight w:val="335"/>
        </w:trPr>
        <w:tc>
          <w:tcPr>
            <w:tcW w:w="2520" w:type="dxa"/>
            <w:tcBorders>
              <w:top w:val="nil"/>
              <w:left w:val="single" w:sz="8" w:space="0" w:color="auto"/>
              <w:bottom w:val="single" w:sz="4" w:space="0" w:color="auto"/>
              <w:right w:val="nil"/>
            </w:tcBorders>
            <w:shd w:val="clear" w:color="000000" w:fill="FFFFFF"/>
            <w:noWrap/>
            <w:vAlign w:val="center"/>
            <w:hideMark/>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15 Days To 30 Days</w:t>
            </w:r>
          </w:p>
        </w:tc>
        <w:tc>
          <w:tcPr>
            <w:tcW w:w="1439" w:type="dxa"/>
            <w:tcBorders>
              <w:top w:val="nil"/>
              <w:left w:val="single" w:sz="8" w:space="0" w:color="auto"/>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1262</w:t>
            </w:r>
            <w:r w:rsidR="00265346">
              <w:rPr>
                <w:rFonts w:ascii="Times New Roman" w:hAnsi="Times New Roman" w:cs="Times New Roman"/>
                <w:color w:val="000000" w:themeColor="text1"/>
                <w:lang w:bidi="pa-IN"/>
              </w:rPr>
              <w:t>00</w:t>
            </w:r>
          </w:p>
        </w:tc>
        <w:tc>
          <w:tcPr>
            <w:tcW w:w="1818"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190</w:t>
            </w:r>
            <w:r w:rsidR="0084621C" w:rsidRPr="0084621C">
              <w:rPr>
                <w:rFonts w:ascii="Times New Roman" w:hAnsi="Times New Roman" w:cs="Times New Roman"/>
                <w:color w:val="000000" w:themeColor="text1"/>
                <w:lang w:bidi="pa-IN"/>
              </w:rPr>
              <w:t>08</w:t>
            </w:r>
          </w:p>
        </w:tc>
        <w:tc>
          <w:tcPr>
            <w:tcW w:w="1158"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715</w:t>
            </w:r>
          </w:p>
        </w:tc>
        <w:tc>
          <w:tcPr>
            <w:tcW w:w="1036"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3706</w:t>
            </w:r>
          </w:p>
        </w:tc>
        <w:tc>
          <w:tcPr>
            <w:tcW w:w="1356"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1081</w:t>
            </w:r>
            <w:r w:rsidR="0084621C" w:rsidRPr="0084621C">
              <w:rPr>
                <w:rFonts w:ascii="Times New Roman" w:hAnsi="Times New Roman" w:cs="Times New Roman"/>
                <w:color w:val="000000" w:themeColor="text1"/>
                <w:lang w:bidi="pa-IN"/>
              </w:rPr>
              <w:t>29</w:t>
            </w:r>
          </w:p>
        </w:tc>
        <w:tc>
          <w:tcPr>
            <w:tcW w:w="131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0.00</w:t>
            </w:r>
          </w:p>
        </w:tc>
      </w:tr>
      <w:tr w:rsidR="0084621C" w:rsidRPr="002D767A" w:rsidTr="00656F0B">
        <w:trPr>
          <w:trHeight w:val="335"/>
        </w:trPr>
        <w:tc>
          <w:tcPr>
            <w:tcW w:w="2520" w:type="dxa"/>
            <w:tcBorders>
              <w:top w:val="nil"/>
              <w:left w:val="single" w:sz="8" w:space="0" w:color="auto"/>
              <w:bottom w:val="single" w:sz="4" w:space="0" w:color="auto"/>
              <w:right w:val="nil"/>
            </w:tcBorders>
            <w:shd w:val="clear" w:color="auto" w:fill="auto"/>
            <w:noWrap/>
            <w:vAlign w:val="center"/>
            <w:hideMark/>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31 Days To 2 Months</w:t>
            </w:r>
          </w:p>
        </w:tc>
        <w:tc>
          <w:tcPr>
            <w:tcW w:w="1439" w:type="dxa"/>
            <w:tcBorders>
              <w:top w:val="nil"/>
              <w:left w:val="single" w:sz="8" w:space="0" w:color="auto"/>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1620</w:t>
            </w:r>
            <w:r w:rsidR="00265346">
              <w:rPr>
                <w:rFonts w:ascii="Times New Roman" w:hAnsi="Times New Roman" w:cs="Times New Roman"/>
                <w:color w:val="000000" w:themeColor="text1"/>
                <w:lang w:bidi="pa-IN"/>
              </w:rPr>
              <w:t>00</w:t>
            </w:r>
          </w:p>
        </w:tc>
        <w:tc>
          <w:tcPr>
            <w:tcW w:w="1818"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963</w:t>
            </w:r>
            <w:r w:rsidR="0084621C" w:rsidRPr="0084621C">
              <w:rPr>
                <w:rFonts w:ascii="Times New Roman" w:hAnsi="Times New Roman" w:cs="Times New Roman"/>
                <w:color w:val="000000" w:themeColor="text1"/>
                <w:lang w:bidi="pa-IN"/>
              </w:rPr>
              <w:t>31</w:t>
            </w:r>
          </w:p>
        </w:tc>
        <w:tc>
          <w:tcPr>
            <w:tcW w:w="1158"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1032</w:t>
            </w:r>
          </w:p>
        </w:tc>
        <w:tc>
          <w:tcPr>
            <w:tcW w:w="1036"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10373</w:t>
            </w:r>
          </w:p>
        </w:tc>
        <w:tc>
          <w:tcPr>
            <w:tcW w:w="1356"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4413</w:t>
            </w:r>
            <w:r w:rsidR="0084621C" w:rsidRPr="0084621C">
              <w:rPr>
                <w:rFonts w:ascii="Times New Roman" w:hAnsi="Times New Roman" w:cs="Times New Roman"/>
                <w:color w:val="000000" w:themeColor="text1"/>
                <w:lang w:bidi="pa-IN"/>
              </w:rPr>
              <w:t>21</w:t>
            </w:r>
          </w:p>
        </w:tc>
        <w:tc>
          <w:tcPr>
            <w:tcW w:w="131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0.00</w:t>
            </w:r>
          </w:p>
        </w:tc>
      </w:tr>
      <w:tr w:rsidR="0084621C" w:rsidRPr="002D767A" w:rsidTr="00656F0B">
        <w:trPr>
          <w:trHeight w:val="335"/>
        </w:trPr>
        <w:tc>
          <w:tcPr>
            <w:tcW w:w="2520" w:type="dxa"/>
            <w:tcBorders>
              <w:top w:val="nil"/>
              <w:left w:val="single" w:sz="8" w:space="0" w:color="auto"/>
              <w:bottom w:val="single" w:sz="4" w:space="0" w:color="auto"/>
              <w:right w:val="nil"/>
            </w:tcBorders>
            <w:shd w:val="clear" w:color="auto" w:fill="auto"/>
            <w:noWrap/>
            <w:vAlign w:val="center"/>
            <w:hideMark/>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Over 2 Months To 3 Months</w:t>
            </w:r>
          </w:p>
        </w:tc>
        <w:tc>
          <w:tcPr>
            <w:tcW w:w="1439" w:type="dxa"/>
            <w:tcBorders>
              <w:top w:val="nil"/>
              <w:left w:val="single" w:sz="8" w:space="0" w:color="auto"/>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1726</w:t>
            </w:r>
            <w:r w:rsidR="00265346">
              <w:rPr>
                <w:rFonts w:ascii="Times New Roman" w:hAnsi="Times New Roman" w:cs="Times New Roman"/>
                <w:color w:val="000000" w:themeColor="text1"/>
                <w:lang w:bidi="pa-IN"/>
              </w:rPr>
              <w:t>00</w:t>
            </w:r>
          </w:p>
        </w:tc>
        <w:tc>
          <w:tcPr>
            <w:tcW w:w="1818"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946</w:t>
            </w:r>
            <w:r w:rsidR="0084621C" w:rsidRPr="0084621C">
              <w:rPr>
                <w:rFonts w:ascii="Times New Roman" w:hAnsi="Times New Roman" w:cs="Times New Roman"/>
                <w:color w:val="000000" w:themeColor="text1"/>
                <w:lang w:bidi="pa-IN"/>
              </w:rPr>
              <w:t>42</w:t>
            </w:r>
          </w:p>
        </w:tc>
        <w:tc>
          <w:tcPr>
            <w:tcW w:w="1158"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819</w:t>
            </w:r>
          </w:p>
        </w:tc>
        <w:tc>
          <w:tcPr>
            <w:tcW w:w="1036"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8454</w:t>
            </w:r>
          </w:p>
        </w:tc>
        <w:tc>
          <w:tcPr>
            <w:tcW w:w="1356"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4317</w:t>
            </w:r>
            <w:r w:rsidR="0084621C" w:rsidRPr="0084621C">
              <w:rPr>
                <w:rFonts w:ascii="Times New Roman" w:hAnsi="Times New Roman" w:cs="Times New Roman"/>
                <w:color w:val="000000" w:themeColor="text1"/>
                <w:lang w:bidi="pa-IN"/>
              </w:rPr>
              <w:t>17</w:t>
            </w:r>
          </w:p>
        </w:tc>
        <w:tc>
          <w:tcPr>
            <w:tcW w:w="131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0.00</w:t>
            </w:r>
          </w:p>
        </w:tc>
      </w:tr>
      <w:tr w:rsidR="0084621C" w:rsidRPr="002D767A" w:rsidTr="00656F0B">
        <w:trPr>
          <w:trHeight w:val="335"/>
        </w:trPr>
        <w:tc>
          <w:tcPr>
            <w:tcW w:w="2520" w:type="dxa"/>
            <w:tcBorders>
              <w:top w:val="nil"/>
              <w:left w:val="single" w:sz="8" w:space="0" w:color="auto"/>
              <w:bottom w:val="single" w:sz="4" w:space="0" w:color="auto"/>
              <w:right w:val="nil"/>
            </w:tcBorders>
            <w:shd w:val="clear" w:color="auto" w:fill="auto"/>
            <w:noWrap/>
            <w:vAlign w:val="center"/>
            <w:hideMark/>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Over 3 Months To 6 Months</w:t>
            </w:r>
          </w:p>
        </w:tc>
        <w:tc>
          <w:tcPr>
            <w:tcW w:w="1439" w:type="dxa"/>
            <w:tcBorders>
              <w:top w:val="nil"/>
              <w:left w:val="single" w:sz="8" w:space="0" w:color="auto"/>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3206</w:t>
            </w:r>
            <w:r w:rsidR="00265346">
              <w:rPr>
                <w:rFonts w:ascii="Times New Roman" w:hAnsi="Times New Roman" w:cs="Times New Roman"/>
                <w:color w:val="000000" w:themeColor="text1"/>
                <w:lang w:bidi="pa-IN"/>
              </w:rPr>
              <w:t>00</w:t>
            </w:r>
          </w:p>
        </w:tc>
        <w:tc>
          <w:tcPr>
            <w:tcW w:w="1818"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1262</w:t>
            </w:r>
            <w:r w:rsidR="0084621C" w:rsidRPr="0084621C">
              <w:rPr>
                <w:rFonts w:ascii="Times New Roman" w:hAnsi="Times New Roman" w:cs="Times New Roman"/>
                <w:color w:val="000000" w:themeColor="text1"/>
                <w:lang w:bidi="pa-IN"/>
              </w:rPr>
              <w:t>25</w:t>
            </w:r>
          </w:p>
        </w:tc>
        <w:tc>
          <w:tcPr>
            <w:tcW w:w="1158"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3097</w:t>
            </w:r>
          </w:p>
        </w:tc>
        <w:tc>
          <w:tcPr>
            <w:tcW w:w="1036"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4103</w:t>
            </w:r>
          </w:p>
        </w:tc>
        <w:tc>
          <w:tcPr>
            <w:tcW w:w="1356"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6925</w:t>
            </w:r>
            <w:r w:rsidR="0084621C" w:rsidRPr="0084621C">
              <w:rPr>
                <w:rFonts w:ascii="Times New Roman" w:hAnsi="Times New Roman" w:cs="Times New Roman"/>
                <w:color w:val="000000" w:themeColor="text1"/>
                <w:lang w:bidi="pa-IN"/>
              </w:rPr>
              <w:t>76</w:t>
            </w:r>
          </w:p>
        </w:tc>
        <w:tc>
          <w:tcPr>
            <w:tcW w:w="131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8</w:t>
            </w:r>
            <w:r w:rsidR="0084621C" w:rsidRPr="0084621C">
              <w:rPr>
                <w:rFonts w:ascii="Times New Roman" w:hAnsi="Times New Roman" w:cs="Times New Roman"/>
                <w:color w:val="000000" w:themeColor="text1"/>
                <w:lang w:bidi="pa-IN"/>
              </w:rPr>
              <w:t>50</w:t>
            </w:r>
          </w:p>
        </w:tc>
      </w:tr>
      <w:tr w:rsidR="0084621C" w:rsidRPr="002D767A" w:rsidTr="00656F0B">
        <w:trPr>
          <w:trHeight w:val="335"/>
        </w:trPr>
        <w:tc>
          <w:tcPr>
            <w:tcW w:w="2520" w:type="dxa"/>
            <w:tcBorders>
              <w:top w:val="nil"/>
              <w:left w:val="single" w:sz="8" w:space="0" w:color="auto"/>
              <w:bottom w:val="single" w:sz="4" w:space="0" w:color="auto"/>
              <w:right w:val="nil"/>
            </w:tcBorders>
            <w:shd w:val="clear" w:color="auto" w:fill="auto"/>
            <w:noWrap/>
            <w:vAlign w:val="center"/>
            <w:hideMark/>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Over 6 Months To 1 Year</w:t>
            </w:r>
          </w:p>
        </w:tc>
        <w:tc>
          <w:tcPr>
            <w:tcW w:w="1439" w:type="dxa"/>
            <w:tcBorders>
              <w:top w:val="nil"/>
              <w:left w:val="single" w:sz="8" w:space="0" w:color="auto"/>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3431</w:t>
            </w:r>
            <w:r w:rsidR="00265346">
              <w:rPr>
                <w:rFonts w:ascii="Times New Roman" w:hAnsi="Times New Roman" w:cs="Times New Roman"/>
                <w:color w:val="000000" w:themeColor="text1"/>
                <w:lang w:bidi="pa-IN"/>
              </w:rPr>
              <w:t>00</w:t>
            </w:r>
          </w:p>
        </w:tc>
        <w:tc>
          <w:tcPr>
            <w:tcW w:w="1818"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4945</w:t>
            </w:r>
            <w:r w:rsidR="0084621C" w:rsidRPr="0084621C">
              <w:rPr>
                <w:rFonts w:ascii="Times New Roman" w:hAnsi="Times New Roman" w:cs="Times New Roman"/>
                <w:color w:val="000000" w:themeColor="text1"/>
                <w:lang w:bidi="pa-IN"/>
              </w:rPr>
              <w:t>65</w:t>
            </w:r>
          </w:p>
        </w:tc>
        <w:tc>
          <w:tcPr>
            <w:tcW w:w="1158"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7317</w:t>
            </w:r>
          </w:p>
        </w:tc>
        <w:tc>
          <w:tcPr>
            <w:tcW w:w="1036"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6886</w:t>
            </w:r>
          </w:p>
        </w:tc>
        <w:tc>
          <w:tcPr>
            <w:tcW w:w="1356"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27465</w:t>
            </w:r>
            <w:r w:rsidR="0084621C" w:rsidRPr="0084621C">
              <w:rPr>
                <w:rFonts w:ascii="Times New Roman" w:hAnsi="Times New Roman" w:cs="Times New Roman"/>
                <w:color w:val="000000" w:themeColor="text1"/>
                <w:lang w:bidi="pa-IN"/>
              </w:rPr>
              <w:t>36</w:t>
            </w:r>
          </w:p>
        </w:tc>
        <w:tc>
          <w:tcPr>
            <w:tcW w:w="131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17</w:t>
            </w:r>
            <w:r w:rsidR="0084621C" w:rsidRPr="0084621C">
              <w:rPr>
                <w:rFonts w:ascii="Times New Roman" w:hAnsi="Times New Roman" w:cs="Times New Roman"/>
                <w:color w:val="000000" w:themeColor="text1"/>
                <w:lang w:bidi="pa-IN"/>
              </w:rPr>
              <w:t>00</w:t>
            </w:r>
          </w:p>
        </w:tc>
      </w:tr>
      <w:tr w:rsidR="0084621C" w:rsidRPr="002D767A" w:rsidTr="00656F0B">
        <w:trPr>
          <w:trHeight w:val="335"/>
        </w:trPr>
        <w:tc>
          <w:tcPr>
            <w:tcW w:w="2520" w:type="dxa"/>
            <w:tcBorders>
              <w:top w:val="nil"/>
              <w:left w:val="single" w:sz="8" w:space="0" w:color="auto"/>
              <w:bottom w:val="single" w:sz="4" w:space="0" w:color="auto"/>
              <w:right w:val="nil"/>
            </w:tcBorders>
            <w:shd w:val="clear" w:color="auto" w:fill="auto"/>
            <w:noWrap/>
            <w:vAlign w:val="center"/>
            <w:hideMark/>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Over 1 Year To 3 Years</w:t>
            </w:r>
          </w:p>
        </w:tc>
        <w:tc>
          <w:tcPr>
            <w:tcW w:w="1439" w:type="dxa"/>
            <w:tcBorders>
              <w:top w:val="nil"/>
              <w:left w:val="single" w:sz="8" w:space="0" w:color="auto"/>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14430</w:t>
            </w:r>
            <w:r w:rsidR="00265346">
              <w:rPr>
                <w:rFonts w:ascii="Times New Roman" w:hAnsi="Times New Roman" w:cs="Times New Roman"/>
                <w:color w:val="000000" w:themeColor="text1"/>
                <w:lang w:bidi="pa-IN"/>
              </w:rPr>
              <w:t>00</w:t>
            </w:r>
          </w:p>
        </w:tc>
        <w:tc>
          <w:tcPr>
            <w:tcW w:w="1818"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4850</w:t>
            </w:r>
            <w:r w:rsidR="0084621C" w:rsidRPr="0084621C">
              <w:rPr>
                <w:rFonts w:ascii="Times New Roman" w:hAnsi="Times New Roman" w:cs="Times New Roman"/>
                <w:color w:val="000000" w:themeColor="text1"/>
                <w:lang w:bidi="pa-IN"/>
              </w:rPr>
              <w:t>08</w:t>
            </w:r>
          </w:p>
        </w:tc>
        <w:tc>
          <w:tcPr>
            <w:tcW w:w="1158"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7527</w:t>
            </w:r>
          </w:p>
        </w:tc>
        <w:tc>
          <w:tcPr>
            <w:tcW w:w="1036"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0</w:t>
            </w:r>
          </w:p>
        </w:tc>
        <w:tc>
          <w:tcPr>
            <w:tcW w:w="1356"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18472</w:t>
            </w:r>
            <w:r w:rsidR="0084621C" w:rsidRPr="0084621C">
              <w:rPr>
                <w:rFonts w:ascii="Times New Roman" w:hAnsi="Times New Roman" w:cs="Times New Roman"/>
                <w:color w:val="000000" w:themeColor="text1"/>
                <w:lang w:bidi="pa-IN"/>
              </w:rPr>
              <w:t>22</w:t>
            </w:r>
          </w:p>
        </w:tc>
        <w:tc>
          <w:tcPr>
            <w:tcW w:w="131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491</w:t>
            </w:r>
            <w:r w:rsidR="0084621C" w:rsidRPr="0084621C">
              <w:rPr>
                <w:rFonts w:ascii="Times New Roman" w:hAnsi="Times New Roman" w:cs="Times New Roman"/>
                <w:color w:val="000000" w:themeColor="text1"/>
                <w:lang w:bidi="pa-IN"/>
              </w:rPr>
              <w:t>25</w:t>
            </w:r>
          </w:p>
        </w:tc>
      </w:tr>
      <w:tr w:rsidR="0084621C" w:rsidRPr="002D767A" w:rsidTr="00656F0B">
        <w:trPr>
          <w:trHeight w:val="335"/>
        </w:trPr>
        <w:tc>
          <w:tcPr>
            <w:tcW w:w="2520" w:type="dxa"/>
            <w:tcBorders>
              <w:top w:val="nil"/>
              <w:left w:val="single" w:sz="8" w:space="0" w:color="auto"/>
              <w:bottom w:val="single" w:sz="4" w:space="0" w:color="auto"/>
              <w:right w:val="nil"/>
            </w:tcBorders>
            <w:shd w:val="clear" w:color="auto" w:fill="auto"/>
            <w:noWrap/>
            <w:vAlign w:val="center"/>
            <w:hideMark/>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Over 3 Years To 5 Years</w:t>
            </w:r>
          </w:p>
        </w:tc>
        <w:tc>
          <w:tcPr>
            <w:tcW w:w="1439" w:type="dxa"/>
            <w:tcBorders>
              <w:top w:val="nil"/>
              <w:left w:val="single" w:sz="8" w:space="0" w:color="auto"/>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9492</w:t>
            </w:r>
            <w:r w:rsidR="00265346">
              <w:rPr>
                <w:rFonts w:ascii="Times New Roman" w:hAnsi="Times New Roman" w:cs="Times New Roman"/>
                <w:color w:val="000000" w:themeColor="text1"/>
                <w:lang w:bidi="pa-IN"/>
              </w:rPr>
              <w:t>00</w:t>
            </w:r>
          </w:p>
        </w:tc>
        <w:tc>
          <w:tcPr>
            <w:tcW w:w="1818"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2129</w:t>
            </w:r>
            <w:r w:rsidR="0084621C" w:rsidRPr="0084621C">
              <w:rPr>
                <w:rFonts w:ascii="Times New Roman" w:hAnsi="Times New Roman" w:cs="Times New Roman"/>
                <w:color w:val="000000" w:themeColor="text1"/>
                <w:lang w:bidi="pa-IN"/>
              </w:rPr>
              <w:t>21</w:t>
            </w:r>
          </w:p>
        </w:tc>
        <w:tc>
          <w:tcPr>
            <w:tcW w:w="1158" w:type="dxa"/>
            <w:tcBorders>
              <w:top w:val="nil"/>
              <w:left w:val="nil"/>
              <w:bottom w:val="single" w:sz="4"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rPr>
            </w:pPr>
            <w:r>
              <w:rPr>
                <w:rFonts w:ascii="Times New Roman" w:hAnsi="Times New Roman" w:cs="Times New Roman"/>
              </w:rPr>
              <w:t>1216</w:t>
            </w:r>
          </w:p>
        </w:tc>
        <w:tc>
          <w:tcPr>
            <w:tcW w:w="1036" w:type="dxa"/>
            <w:tcBorders>
              <w:top w:val="nil"/>
              <w:left w:val="nil"/>
              <w:bottom w:val="single" w:sz="4" w:space="0" w:color="auto"/>
              <w:right w:val="single" w:sz="8" w:space="0" w:color="auto"/>
            </w:tcBorders>
            <w:shd w:val="clear" w:color="auto" w:fill="auto"/>
            <w:noWrap/>
            <w:vAlign w:val="center"/>
          </w:tcPr>
          <w:p w:rsidR="0084621C" w:rsidRPr="0070636B" w:rsidRDefault="0084621C" w:rsidP="0084621C">
            <w:pPr>
              <w:spacing w:after="0" w:line="240" w:lineRule="auto"/>
              <w:jc w:val="center"/>
              <w:rPr>
                <w:rFonts w:ascii="Times New Roman" w:hAnsi="Times New Roman" w:cs="Times New Roman"/>
              </w:rPr>
            </w:pPr>
            <w:r w:rsidRPr="0070636B">
              <w:rPr>
                <w:rFonts w:ascii="Times New Roman" w:hAnsi="Times New Roman" w:cs="Times New Roman"/>
              </w:rPr>
              <w:t>0</w:t>
            </w:r>
          </w:p>
        </w:tc>
        <w:tc>
          <w:tcPr>
            <w:tcW w:w="1356"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10601</w:t>
            </w:r>
            <w:r w:rsidR="0084621C" w:rsidRPr="0084621C">
              <w:rPr>
                <w:rFonts w:ascii="Times New Roman" w:hAnsi="Times New Roman" w:cs="Times New Roman"/>
                <w:color w:val="000000" w:themeColor="text1"/>
                <w:lang w:bidi="pa-IN"/>
              </w:rPr>
              <w:t>37</w:t>
            </w:r>
          </w:p>
        </w:tc>
        <w:tc>
          <w:tcPr>
            <w:tcW w:w="131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0.00</w:t>
            </w:r>
          </w:p>
        </w:tc>
      </w:tr>
      <w:tr w:rsidR="0084621C" w:rsidRPr="002D767A" w:rsidTr="00656F0B">
        <w:trPr>
          <w:trHeight w:val="335"/>
        </w:trPr>
        <w:tc>
          <w:tcPr>
            <w:tcW w:w="2520" w:type="dxa"/>
            <w:tcBorders>
              <w:top w:val="nil"/>
              <w:left w:val="single" w:sz="8" w:space="0" w:color="auto"/>
              <w:bottom w:val="nil"/>
              <w:right w:val="nil"/>
            </w:tcBorders>
            <w:shd w:val="clear" w:color="auto" w:fill="auto"/>
            <w:noWrap/>
            <w:vAlign w:val="center"/>
            <w:hideMark/>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Over 5 Years</w:t>
            </w:r>
          </w:p>
        </w:tc>
        <w:tc>
          <w:tcPr>
            <w:tcW w:w="1439" w:type="dxa"/>
            <w:tcBorders>
              <w:top w:val="nil"/>
              <w:left w:val="single" w:sz="8" w:space="0" w:color="auto"/>
              <w:bottom w:val="single" w:sz="4" w:space="0" w:color="auto"/>
              <w:right w:val="single" w:sz="4"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14906</w:t>
            </w:r>
            <w:r w:rsidR="00265346">
              <w:rPr>
                <w:rFonts w:ascii="Times New Roman" w:hAnsi="Times New Roman" w:cs="Times New Roman"/>
                <w:color w:val="000000" w:themeColor="text1"/>
                <w:lang w:bidi="pa-IN"/>
              </w:rPr>
              <w:t>00</w:t>
            </w:r>
          </w:p>
        </w:tc>
        <w:tc>
          <w:tcPr>
            <w:tcW w:w="1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4742</w:t>
            </w:r>
            <w:r w:rsidR="0084621C" w:rsidRPr="0084621C">
              <w:rPr>
                <w:rFonts w:ascii="Times New Roman" w:hAnsi="Times New Roman" w:cs="Times New Roman"/>
                <w:color w:val="000000" w:themeColor="text1"/>
                <w:lang w:bidi="pa-IN"/>
              </w:rPr>
              <w:t>03</w:t>
            </w:r>
          </w:p>
        </w:tc>
        <w:tc>
          <w:tcPr>
            <w:tcW w:w="1158" w:type="dxa"/>
            <w:tcBorders>
              <w:top w:val="nil"/>
              <w:left w:val="single" w:sz="4" w:space="0" w:color="auto"/>
              <w:bottom w:val="single" w:sz="4" w:space="0" w:color="auto"/>
              <w:right w:val="single" w:sz="8" w:space="0" w:color="auto"/>
            </w:tcBorders>
            <w:shd w:val="clear" w:color="auto" w:fill="auto"/>
            <w:noWrap/>
            <w:vAlign w:val="center"/>
          </w:tcPr>
          <w:p w:rsidR="0084621C" w:rsidRPr="0070636B" w:rsidRDefault="0084621C" w:rsidP="0084621C">
            <w:pPr>
              <w:spacing w:after="0" w:line="240" w:lineRule="auto"/>
              <w:jc w:val="center"/>
              <w:rPr>
                <w:rFonts w:ascii="Times New Roman" w:hAnsi="Times New Roman" w:cs="Times New Roman"/>
              </w:rPr>
            </w:pPr>
            <w:r w:rsidRPr="0070636B">
              <w:rPr>
                <w:rFonts w:ascii="Times New Roman" w:hAnsi="Times New Roman" w:cs="Times New Roman"/>
              </w:rPr>
              <w:t>0.00</w:t>
            </w:r>
          </w:p>
        </w:tc>
        <w:tc>
          <w:tcPr>
            <w:tcW w:w="1036" w:type="dxa"/>
            <w:tcBorders>
              <w:top w:val="nil"/>
              <w:left w:val="nil"/>
              <w:bottom w:val="single" w:sz="4" w:space="0" w:color="auto"/>
              <w:right w:val="single" w:sz="8" w:space="0" w:color="auto"/>
            </w:tcBorders>
            <w:shd w:val="clear" w:color="auto" w:fill="auto"/>
            <w:noWrap/>
            <w:vAlign w:val="center"/>
          </w:tcPr>
          <w:p w:rsidR="0084621C" w:rsidRPr="0070636B" w:rsidRDefault="0084621C" w:rsidP="0084621C">
            <w:pPr>
              <w:spacing w:after="0" w:line="240" w:lineRule="auto"/>
              <w:jc w:val="center"/>
              <w:rPr>
                <w:rFonts w:ascii="Times New Roman" w:hAnsi="Times New Roman" w:cs="Times New Roman"/>
              </w:rPr>
            </w:pPr>
            <w:r w:rsidRPr="0070636B">
              <w:rPr>
                <w:rFonts w:ascii="Times New Roman" w:hAnsi="Times New Roman" w:cs="Times New Roman"/>
              </w:rPr>
              <w:t>0</w:t>
            </w:r>
          </w:p>
        </w:tc>
        <w:tc>
          <w:tcPr>
            <w:tcW w:w="1356" w:type="dxa"/>
            <w:tcBorders>
              <w:top w:val="nil"/>
              <w:left w:val="nil"/>
              <w:bottom w:val="single" w:sz="4"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color w:val="000000" w:themeColor="text1"/>
                <w:lang w:bidi="pa-IN"/>
              </w:rPr>
            </w:pPr>
            <w:r>
              <w:rPr>
                <w:rFonts w:ascii="Times New Roman" w:hAnsi="Times New Roman" w:cs="Times New Roman"/>
                <w:color w:val="000000" w:themeColor="text1"/>
                <w:lang w:bidi="pa-IN"/>
              </w:rPr>
              <w:t>9879</w:t>
            </w:r>
            <w:r w:rsidR="0084621C" w:rsidRPr="0084621C">
              <w:rPr>
                <w:rFonts w:ascii="Times New Roman" w:hAnsi="Times New Roman" w:cs="Times New Roman"/>
                <w:color w:val="000000" w:themeColor="text1"/>
                <w:lang w:bidi="pa-IN"/>
              </w:rPr>
              <w:t>13</w:t>
            </w:r>
          </w:p>
        </w:tc>
        <w:tc>
          <w:tcPr>
            <w:tcW w:w="1316" w:type="dxa"/>
            <w:tcBorders>
              <w:top w:val="single" w:sz="8" w:space="0" w:color="auto"/>
              <w:left w:val="nil"/>
              <w:bottom w:val="single" w:sz="4" w:space="0" w:color="auto"/>
              <w:right w:val="single" w:sz="8" w:space="0" w:color="auto"/>
            </w:tcBorders>
            <w:shd w:val="clear" w:color="auto" w:fill="auto"/>
            <w:noWrap/>
            <w:vAlign w:val="center"/>
          </w:tcPr>
          <w:p w:rsidR="0084621C" w:rsidRPr="0084621C" w:rsidRDefault="0084621C" w:rsidP="0084621C">
            <w:pPr>
              <w:spacing w:after="0" w:line="240" w:lineRule="auto"/>
              <w:jc w:val="center"/>
              <w:rPr>
                <w:rFonts w:ascii="Times New Roman" w:hAnsi="Times New Roman" w:cs="Times New Roman"/>
                <w:color w:val="000000" w:themeColor="text1"/>
                <w:lang w:bidi="pa-IN"/>
              </w:rPr>
            </w:pPr>
            <w:r w:rsidRPr="0084621C">
              <w:rPr>
                <w:rFonts w:ascii="Times New Roman" w:hAnsi="Times New Roman" w:cs="Times New Roman"/>
                <w:color w:val="000000" w:themeColor="text1"/>
                <w:lang w:bidi="pa-IN"/>
              </w:rPr>
              <w:t>0.00</w:t>
            </w:r>
          </w:p>
        </w:tc>
      </w:tr>
      <w:tr w:rsidR="0084621C" w:rsidRPr="001769B4" w:rsidTr="00656F0B">
        <w:trPr>
          <w:trHeight w:val="139"/>
        </w:trPr>
        <w:tc>
          <w:tcPr>
            <w:tcW w:w="2520" w:type="dxa"/>
            <w:tcBorders>
              <w:top w:val="single" w:sz="8" w:space="0" w:color="auto"/>
              <w:left w:val="single" w:sz="8" w:space="0" w:color="auto"/>
              <w:bottom w:val="single" w:sz="8" w:space="0" w:color="auto"/>
              <w:right w:val="nil"/>
            </w:tcBorders>
            <w:shd w:val="clear" w:color="auto" w:fill="auto"/>
            <w:noWrap/>
            <w:vAlign w:val="center"/>
            <w:hideMark/>
          </w:tcPr>
          <w:p w:rsidR="0084621C" w:rsidRPr="0084621C" w:rsidRDefault="0084621C" w:rsidP="0084621C">
            <w:pPr>
              <w:spacing w:after="0" w:line="240" w:lineRule="auto"/>
              <w:jc w:val="center"/>
              <w:rPr>
                <w:rFonts w:ascii="Times New Roman" w:hAnsi="Times New Roman" w:cs="Times New Roman"/>
                <w:b/>
                <w:bCs/>
                <w:color w:val="000000" w:themeColor="text1"/>
                <w:lang w:bidi="pa-IN"/>
              </w:rPr>
            </w:pPr>
            <w:r w:rsidRPr="0084621C">
              <w:rPr>
                <w:rFonts w:ascii="Times New Roman" w:hAnsi="Times New Roman" w:cs="Times New Roman"/>
                <w:b/>
                <w:bCs/>
                <w:color w:val="000000" w:themeColor="text1"/>
                <w:lang w:bidi="pa-IN"/>
              </w:rPr>
              <w:t>GRAND TOTAL</w:t>
            </w:r>
          </w:p>
        </w:tc>
        <w:tc>
          <w:tcPr>
            <w:tcW w:w="1439" w:type="dxa"/>
            <w:tcBorders>
              <w:top w:val="nil"/>
              <w:left w:val="single" w:sz="8" w:space="0" w:color="auto"/>
              <w:bottom w:val="single" w:sz="8"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b/>
                <w:color w:val="000000" w:themeColor="text1"/>
                <w:lang w:bidi="pa-IN"/>
              </w:rPr>
            </w:pPr>
            <w:r>
              <w:rPr>
                <w:rFonts w:ascii="Times New Roman" w:hAnsi="Times New Roman" w:cs="Times New Roman"/>
                <w:b/>
                <w:color w:val="000000" w:themeColor="text1"/>
                <w:lang w:bidi="pa-IN"/>
              </w:rPr>
              <w:t>5282000</w:t>
            </w:r>
          </w:p>
        </w:tc>
        <w:tc>
          <w:tcPr>
            <w:tcW w:w="1818" w:type="dxa"/>
            <w:tcBorders>
              <w:top w:val="single" w:sz="4" w:space="0" w:color="auto"/>
              <w:left w:val="nil"/>
              <w:bottom w:val="single" w:sz="8" w:space="0" w:color="auto"/>
              <w:right w:val="single" w:sz="8" w:space="0" w:color="auto"/>
            </w:tcBorders>
            <w:shd w:val="clear" w:color="auto" w:fill="auto"/>
            <w:noWrap/>
            <w:vAlign w:val="center"/>
          </w:tcPr>
          <w:p w:rsidR="0084621C" w:rsidRPr="0084621C" w:rsidRDefault="00265346" w:rsidP="0084621C">
            <w:pPr>
              <w:jc w:val="center"/>
              <w:rPr>
                <w:rFonts w:ascii="Times New Roman" w:hAnsi="Times New Roman" w:cs="Times New Roman"/>
                <w:b/>
                <w:color w:val="000000" w:themeColor="text1"/>
                <w:lang w:bidi="pa-IN"/>
              </w:rPr>
            </w:pPr>
            <w:r>
              <w:rPr>
                <w:rFonts w:ascii="Times New Roman" w:hAnsi="Times New Roman" w:cs="Times New Roman"/>
                <w:b/>
                <w:color w:val="000000" w:themeColor="text1"/>
                <w:lang w:bidi="pa-IN"/>
              </w:rPr>
              <w:t>24153</w:t>
            </w:r>
            <w:r w:rsidR="0084621C" w:rsidRPr="0084621C">
              <w:rPr>
                <w:rFonts w:ascii="Times New Roman" w:hAnsi="Times New Roman" w:cs="Times New Roman"/>
                <w:b/>
                <w:color w:val="000000" w:themeColor="text1"/>
                <w:lang w:bidi="pa-IN"/>
              </w:rPr>
              <w:t>46</w:t>
            </w:r>
          </w:p>
        </w:tc>
        <w:tc>
          <w:tcPr>
            <w:tcW w:w="1158" w:type="dxa"/>
            <w:tcBorders>
              <w:top w:val="nil"/>
              <w:left w:val="nil"/>
              <w:bottom w:val="single" w:sz="8"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b/>
                <w:bCs/>
              </w:rPr>
            </w:pPr>
            <w:r>
              <w:rPr>
                <w:rFonts w:ascii="Times New Roman" w:hAnsi="Times New Roman" w:cs="Times New Roman"/>
                <w:b/>
                <w:bCs/>
              </w:rPr>
              <w:t>23317</w:t>
            </w:r>
          </w:p>
        </w:tc>
        <w:tc>
          <w:tcPr>
            <w:tcW w:w="1036" w:type="dxa"/>
            <w:tcBorders>
              <w:top w:val="nil"/>
              <w:left w:val="nil"/>
              <w:bottom w:val="single" w:sz="8" w:space="0" w:color="auto"/>
              <w:right w:val="single" w:sz="8" w:space="0" w:color="auto"/>
            </w:tcBorders>
            <w:shd w:val="clear" w:color="auto" w:fill="auto"/>
            <w:noWrap/>
            <w:vAlign w:val="center"/>
          </w:tcPr>
          <w:p w:rsidR="0084621C" w:rsidRPr="0070636B" w:rsidRDefault="0070636B" w:rsidP="0084621C">
            <w:pPr>
              <w:spacing w:after="0" w:line="240" w:lineRule="auto"/>
              <w:jc w:val="center"/>
              <w:rPr>
                <w:rFonts w:ascii="Times New Roman" w:hAnsi="Times New Roman" w:cs="Times New Roman"/>
                <w:b/>
                <w:bCs/>
              </w:rPr>
            </w:pPr>
            <w:r>
              <w:rPr>
                <w:rFonts w:ascii="Times New Roman" w:hAnsi="Times New Roman" w:cs="Times New Roman"/>
                <w:b/>
                <w:bCs/>
              </w:rPr>
              <w:t>45432</w:t>
            </w:r>
          </w:p>
        </w:tc>
        <w:tc>
          <w:tcPr>
            <w:tcW w:w="1356" w:type="dxa"/>
            <w:tcBorders>
              <w:top w:val="nil"/>
              <w:left w:val="nil"/>
              <w:bottom w:val="single" w:sz="8" w:space="0" w:color="auto"/>
              <w:right w:val="single" w:sz="8" w:space="0" w:color="auto"/>
            </w:tcBorders>
            <w:shd w:val="clear" w:color="auto" w:fill="auto"/>
            <w:noWrap/>
            <w:vAlign w:val="center"/>
          </w:tcPr>
          <w:p w:rsidR="0084621C" w:rsidRPr="0084621C" w:rsidRDefault="00265346" w:rsidP="0084621C">
            <w:pPr>
              <w:spacing w:after="0" w:line="240" w:lineRule="auto"/>
              <w:jc w:val="center"/>
              <w:rPr>
                <w:rFonts w:ascii="Times New Roman" w:hAnsi="Times New Roman" w:cs="Times New Roman"/>
                <w:b/>
                <w:color w:val="000000" w:themeColor="text1"/>
                <w:lang w:bidi="pa-IN"/>
              </w:rPr>
            </w:pPr>
            <w:r>
              <w:rPr>
                <w:rFonts w:ascii="Times New Roman" w:hAnsi="Times New Roman" w:cs="Times New Roman"/>
                <w:b/>
                <w:color w:val="000000" w:themeColor="text1"/>
                <w:lang w:bidi="pa-IN"/>
              </w:rPr>
              <w:t>85225</w:t>
            </w:r>
            <w:r w:rsidR="0084621C" w:rsidRPr="0084621C">
              <w:rPr>
                <w:rFonts w:ascii="Times New Roman" w:hAnsi="Times New Roman" w:cs="Times New Roman"/>
                <w:b/>
                <w:color w:val="000000" w:themeColor="text1"/>
                <w:lang w:bidi="pa-IN"/>
              </w:rPr>
              <w:t>44</w:t>
            </w:r>
          </w:p>
        </w:tc>
        <w:tc>
          <w:tcPr>
            <w:tcW w:w="1316" w:type="dxa"/>
            <w:tcBorders>
              <w:top w:val="nil"/>
              <w:left w:val="nil"/>
              <w:bottom w:val="single" w:sz="8" w:space="0" w:color="auto"/>
              <w:right w:val="single" w:sz="8" w:space="0" w:color="auto"/>
            </w:tcBorders>
            <w:shd w:val="clear" w:color="auto" w:fill="auto"/>
            <w:noWrap/>
            <w:vAlign w:val="center"/>
          </w:tcPr>
          <w:p w:rsidR="0084621C" w:rsidRPr="0084621C" w:rsidRDefault="00265346" w:rsidP="0084621C">
            <w:pPr>
              <w:jc w:val="center"/>
              <w:rPr>
                <w:rFonts w:ascii="Times New Roman" w:hAnsi="Times New Roman" w:cs="Times New Roman"/>
                <w:b/>
                <w:color w:val="000000" w:themeColor="text1"/>
                <w:lang w:bidi="pa-IN"/>
              </w:rPr>
            </w:pPr>
            <w:r>
              <w:rPr>
                <w:rFonts w:ascii="Times New Roman" w:hAnsi="Times New Roman" w:cs="Times New Roman"/>
                <w:b/>
                <w:color w:val="000000" w:themeColor="text1"/>
                <w:lang w:bidi="pa-IN"/>
              </w:rPr>
              <w:t>520</w:t>
            </w:r>
            <w:r w:rsidR="0084621C" w:rsidRPr="0084621C">
              <w:rPr>
                <w:rFonts w:ascii="Times New Roman" w:hAnsi="Times New Roman" w:cs="Times New Roman"/>
                <w:b/>
                <w:color w:val="000000" w:themeColor="text1"/>
                <w:lang w:bidi="pa-IN"/>
              </w:rPr>
              <w:t>75</w:t>
            </w:r>
          </w:p>
        </w:tc>
      </w:tr>
      <w:bookmarkEnd w:id="0"/>
    </w:tbl>
    <w:p w:rsidR="00F2294D" w:rsidRDefault="00F2294D" w:rsidP="007344A8">
      <w:pPr>
        <w:autoSpaceDE w:val="0"/>
        <w:autoSpaceDN w:val="0"/>
        <w:adjustRightInd w:val="0"/>
        <w:spacing w:after="0" w:line="240" w:lineRule="auto"/>
        <w:rPr>
          <w:rFonts w:ascii="Times New Roman" w:hAnsi="Times New Roman" w:cs="Times New Roman"/>
          <w:b/>
          <w:u w:val="single"/>
        </w:rPr>
      </w:pPr>
    </w:p>
    <w:p w:rsidR="00F2294D" w:rsidRDefault="00F2294D" w:rsidP="007344A8">
      <w:pPr>
        <w:autoSpaceDE w:val="0"/>
        <w:autoSpaceDN w:val="0"/>
        <w:adjustRightInd w:val="0"/>
        <w:spacing w:after="0" w:line="240" w:lineRule="auto"/>
        <w:rPr>
          <w:rFonts w:ascii="Times New Roman" w:hAnsi="Times New Roman" w:cs="Times New Roman"/>
          <w:b/>
          <w:u w:val="single"/>
        </w:rPr>
      </w:pPr>
    </w:p>
    <w:p w:rsidR="007344A8" w:rsidRPr="00F94EB9" w:rsidRDefault="007344A8" w:rsidP="00F94EB9">
      <w:pPr>
        <w:autoSpaceDE w:val="0"/>
        <w:autoSpaceDN w:val="0"/>
        <w:adjustRightInd w:val="0"/>
        <w:spacing w:after="0" w:line="240" w:lineRule="auto"/>
        <w:rPr>
          <w:rStyle w:val="SubtleEmphasis"/>
          <w:rFonts w:ascii="Times New Roman" w:hAnsi="Times New Roman" w:cs="Times New Roman"/>
          <w:i w:val="0"/>
          <w:iCs w:val="0"/>
          <w:color w:val="auto"/>
        </w:rPr>
      </w:pPr>
      <w:r w:rsidRPr="00CF58D3">
        <w:rPr>
          <w:rFonts w:ascii="Times New Roman" w:hAnsi="Times New Roman" w:cs="Times New Roman"/>
          <w:b/>
          <w:u w:val="single"/>
        </w:rPr>
        <w:t>Amount of NPAs (Gross)</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5850"/>
        <w:gridCol w:w="2970"/>
      </w:tblGrid>
      <w:tr w:rsidR="007344A8" w:rsidRPr="00CF58D3" w:rsidTr="004C036A">
        <w:tc>
          <w:tcPr>
            <w:tcW w:w="828" w:type="dxa"/>
          </w:tcPr>
          <w:p w:rsidR="007344A8" w:rsidRPr="00CF58D3" w:rsidRDefault="00685CC1" w:rsidP="004C036A">
            <w:pPr>
              <w:spacing w:after="0"/>
              <w:rPr>
                <w:rFonts w:ascii="Times New Roman" w:hAnsi="Times New Roman" w:cs="Times New Roman"/>
              </w:rPr>
            </w:pPr>
            <w:proofErr w:type="spellStart"/>
            <w:r w:rsidRPr="00CF58D3">
              <w:rPr>
                <w:rFonts w:ascii="Times New Roman" w:hAnsi="Times New Roman" w:cs="Times New Roman"/>
              </w:rPr>
              <w:t>S.No</w:t>
            </w:r>
            <w:proofErr w:type="spellEnd"/>
          </w:p>
        </w:tc>
        <w:tc>
          <w:tcPr>
            <w:tcW w:w="5850" w:type="dxa"/>
          </w:tcPr>
          <w:p w:rsidR="007344A8" w:rsidRPr="00CF58D3" w:rsidRDefault="007344A8" w:rsidP="004C036A">
            <w:pPr>
              <w:spacing w:after="0"/>
              <w:rPr>
                <w:rFonts w:ascii="Times New Roman" w:hAnsi="Times New Roman" w:cs="Times New Roman"/>
                <w:b/>
              </w:rPr>
            </w:pPr>
            <w:r w:rsidRPr="00CF58D3">
              <w:rPr>
                <w:rFonts w:ascii="Times New Roman" w:hAnsi="Times New Roman" w:cs="Times New Roman"/>
                <w:b/>
              </w:rPr>
              <w:t>Category</w:t>
            </w:r>
          </w:p>
        </w:tc>
        <w:tc>
          <w:tcPr>
            <w:tcW w:w="2970" w:type="dxa"/>
          </w:tcPr>
          <w:p w:rsidR="007344A8" w:rsidRPr="00CF58D3" w:rsidRDefault="007344A8" w:rsidP="004A7BF2">
            <w:pPr>
              <w:spacing w:after="0" w:line="240" w:lineRule="auto"/>
              <w:jc w:val="right"/>
              <w:rPr>
                <w:rFonts w:ascii="Times New Roman" w:hAnsi="Times New Roman" w:cs="Times New Roman"/>
              </w:rPr>
            </w:pPr>
            <w:r w:rsidRPr="00CF58D3">
              <w:rPr>
                <w:rFonts w:ascii="Times New Roman" w:hAnsi="Times New Roman" w:cs="Times New Roman"/>
                <w:b/>
                <w:bCs/>
              </w:rPr>
              <w:t xml:space="preserve">Amt. in </w:t>
            </w:r>
            <w:r w:rsidR="004A7BF2" w:rsidRPr="00CF58D3">
              <w:rPr>
                <w:rFonts w:ascii="Times New Roman" w:hAnsi="Times New Roman" w:cs="Times New Roman"/>
                <w:b/>
                <w:bCs/>
              </w:rPr>
              <w:t>Lakh</w:t>
            </w:r>
            <w:r w:rsidR="007B1327" w:rsidRPr="00CF58D3">
              <w:rPr>
                <w:rFonts w:ascii="Times New Roman" w:hAnsi="Times New Roman" w:cs="Times New Roman"/>
                <w:b/>
                <w:bCs/>
              </w:rPr>
              <w:t>s</w:t>
            </w:r>
          </w:p>
        </w:tc>
      </w:tr>
      <w:tr w:rsidR="00231AC7" w:rsidRPr="00CA25E2" w:rsidTr="004C036A">
        <w:tc>
          <w:tcPr>
            <w:tcW w:w="828" w:type="dxa"/>
          </w:tcPr>
          <w:p w:rsidR="00231AC7" w:rsidRPr="004816EB" w:rsidRDefault="00231AC7" w:rsidP="00231AC7">
            <w:pPr>
              <w:spacing w:after="0"/>
              <w:rPr>
                <w:rFonts w:ascii="Times New Roman" w:hAnsi="Times New Roman" w:cs="Times New Roman"/>
              </w:rPr>
            </w:pPr>
            <w:r w:rsidRPr="004816EB">
              <w:rPr>
                <w:rFonts w:ascii="Times New Roman" w:hAnsi="Times New Roman" w:cs="Times New Roman"/>
              </w:rPr>
              <w:t>1</w:t>
            </w:r>
          </w:p>
        </w:tc>
        <w:tc>
          <w:tcPr>
            <w:tcW w:w="5850" w:type="dxa"/>
          </w:tcPr>
          <w:p w:rsidR="00231AC7" w:rsidRPr="004816EB" w:rsidRDefault="00231AC7" w:rsidP="00231AC7">
            <w:pPr>
              <w:spacing w:after="0"/>
              <w:rPr>
                <w:rFonts w:ascii="Times New Roman" w:hAnsi="Times New Roman" w:cs="Times New Roman"/>
              </w:rPr>
            </w:pPr>
            <w:r w:rsidRPr="004816EB">
              <w:rPr>
                <w:rFonts w:ascii="Times New Roman" w:hAnsi="Times New Roman" w:cs="Times New Roman"/>
              </w:rPr>
              <w:t>Substandard</w:t>
            </w:r>
          </w:p>
        </w:tc>
        <w:tc>
          <w:tcPr>
            <w:tcW w:w="2970" w:type="dxa"/>
            <w:vAlign w:val="bottom"/>
          </w:tcPr>
          <w:p w:rsidR="00231AC7" w:rsidRPr="004816EB" w:rsidRDefault="004816EB" w:rsidP="00CC3E81">
            <w:pPr>
              <w:spacing w:after="0" w:line="240" w:lineRule="auto"/>
              <w:jc w:val="right"/>
              <w:rPr>
                <w:rFonts w:ascii="Times New Roman" w:hAnsi="Times New Roman" w:cs="Times New Roman"/>
              </w:rPr>
            </w:pPr>
            <w:r>
              <w:rPr>
                <w:rFonts w:ascii="Times New Roman" w:hAnsi="Times New Roman" w:cs="Times New Roman"/>
              </w:rPr>
              <w:t>205149</w:t>
            </w:r>
          </w:p>
        </w:tc>
      </w:tr>
      <w:tr w:rsidR="00231AC7" w:rsidRPr="00CA25E2" w:rsidTr="004C036A">
        <w:tc>
          <w:tcPr>
            <w:tcW w:w="828" w:type="dxa"/>
          </w:tcPr>
          <w:p w:rsidR="00231AC7" w:rsidRPr="004816EB" w:rsidRDefault="00231AC7" w:rsidP="00231AC7">
            <w:pPr>
              <w:spacing w:after="0"/>
              <w:rPr>
                <w:rFonts w:ascii="Times New Roman" w:hAnsi="Times New Roman" w:cs="Times New Roman"/>
              </w:rPr>
            </w:pPr>
            <w:r w:rsidRPr="004816EB">
              <w:rPr>
                <w:rFonts w:ascii="Times New Roman" w:hAnsi="Times New Roman" w:cs="Times New Roman"/>
              </w:rPr>
              <w:t>2</w:t>
            </w:r>
          </w:p>
        </w:tc>
        <w:tc>
          <w:tcPr>
            <w:tcW w:w="5850" w:type="dxa"/>
          </w:tcPr>
          <w:p w:rsidR="00231AC7" w:rsidRPr="004816EB" w:rsidRDefault="00231AC7" w:rsidP="00231AC7">
            <w:pPr>
              <w:spacing w:after="0"/>
              <w:rPr>
                <w:rFonts w:ascii="Times New Roman" w:hAnsi="Times New Roman" w:cs="Times New Roman"/>
              </w:rPr>
            </w:pPr>
            <w:r w:rsidRPr="004816EB">
              <w:rPr>
                <w:rFonts w:ascii="Times New Roman" w:hAnsi="Times New Roman" w:cs="Times New Roman"/>
              </w:rPr>
              <w:t xml:space="preserve">Doubtful 1 </w:t>
            </w:r>
          </w:p>
        </w:tc>
        <w:tc>
          <w:tcPr>
            <w:tcW w:w="2970" w:type="dxa"/>
            <w:vAlign w:val="bottom"/>
          </w:tcPr>
          <w:p w:rsidR="00231AC7" w:rsidRPr="004816EB" w:rsidRDefault="004816EB" w:rsidP="00CC3E81">
            <w:pPr>
              <w:spacing w:after="0" w:line="240" w:lineRule="auto"/>
              <w:jc w:val="right"/>
              <w:rPr>
                <w:rFonts w:ascii="Times New Roman" w:hAnsi="Times New Roman" w:cs="Times New Roman"/>
              </w:rPr>
            </w:pPr>
            <w:r>
              <w:rPr>
                <w:rFonts w:ascii="Times New Roman" w:hAnsi="Times New Roman" w:cs="Times New Roman"/>
              </w:rPr>
              <w:t>256384</w:t>
            </w:r>
          </w:p>
        </w:tc>
      </w:tr>
      <w:tr w:rsidR="00694758" w:rsidRPr="00CA25E2" w:rsidTr="004C036A">
        <w:tc>
          <w:tcPr>
            <w:tcW w:w="828" w:type="dxa"/>
          </w:tcPr>
          <w:p w:rsidR="00694758" w:rsidRPr="004816EB" w:rsidRDefault="00694758" w:rsidP="004C036A">
            <w:pPr>
              <w:spacing w:after="0"/>
              <w:rPr>
                <w:rFonts w:ascii="Times New Roman" w:hAnsi="Times New Roman" w:cs="Times New Roman"/>
              </w:rPr>
            </w:pPr>
            <w:r w:rsidRPr="004816EB">
              <w:rPr>
                <w:rFonts w:ascii="Times New Roman" w:hAnsi="Times New Roman" w:cs="Times New Roman"/>
              </w:rPr>
              <w:t>3</w:t>
            </w:r>
          </w:p>
        </w:tc>
        <w:tc>
          <w:tcPr>
            <w:tcW w:w="5850" w:type="dxa"/>
          </w:tcPr>
          <w:p w:rsidR="00694758" w:rsidRPr="004816EB" w:rsidRDefault="00694758" w:rsidP="004C036A">
            <w:pPr>
              <w:spacing w:after="0"/>
              <w:rPr>
                <w:rFonts w:ascii="Times New Roman" w:hAnsi="Times New Roman" w:cs="Times New Roman"/>
              </w:rPr>
            </w:pPr>
            <w:r w:rsidRPr="004816EB">
              <w:rPr>
                <w:rFonts w:ascii="Times New Roman" w:hAnsi="Times New Roman" w:cs="Times New Roman"/>
              </w:rPr>
              <w:t xml:space="preserve">Doubtful 2 </w:t>
            </w:r>
          </w:p>
        </w:tc>
        <w:tc>
          <w:tcPr>
            <w:tcW w:w="2970" w:type="dxa"/>
            <w:vAlign w:val="bottom"/>
          </w:tcPr>
          <w:p w:rsidR="00694758" w:rsidRPr="004816EB" w:rsidRDefault="00573ADE" w:rsidP="00CC3E81">
            <w:pPr>
              <w:spacing w:after="0" w:line="240" w:lineRule="auto"/>
              <w:jc w:val="right"/>
              <w:rPr>
                <w:rFonts w:ascii="Times New Roman" w:hAnsi="Times New Roman" w:cs="Times New Roman"/>
              </w:rPr>
            </w:pPr>
            <w:r w:rsidRPr="004816EB">
              <w:rPr>
                <w:rFonts w:ascii="Times New Roman" w:hAnsi="Times New Roman" w:cs="Times New Roman"/>
              </w:rPr>
              <w:t>2</w:t>
            </w:r>
            <w:r w:rsidR="004816EB">
              <w:rPr>
                <w:rFonts w:ascii="Times New Roman" w:hAnsi="Times New Roman" w:cs="Times New Roman"/>
              </w:rPr>
              <w:t>42082</w:t>
            </w:r>
          </w:p>
        </w:tc>
      </w:tr>
      <w:tr w:rsidR="00694758" w:rsidRPr="00CA25E2" w:rsidTr="004C036A">
        <w:tc>
          <w:tcPr>
            <w:tcW w:w="828" w:type="dxa"/>
          </w:tcPr>
          <w:p w:rsidR="00694758" w:rsidRPr="004816EB" w:rsidRDefault="00694758" w:rsidP="004C036A">
            <w:pPr>
              <w:spacing w:after="0"/>
              <w:rPr>
                <w:rFonts w:ascii="Times New Roman" w:hAnsi="Times New Roman" w:cs="Times New Roman"/>
              </w:rPr>
            </w:pPr>
            <w:r w:rsidRPr="004816EB">
              <w:rPr>
                <w:rFonts w:ascii="Times New Roman" w:hAnsi="Times New Roman" w:cs="Times New Roman"/>
              </w:rPr>
              <w:t>4</w:t>
            </w:r>
          </w:p>
        </w:tc>
        <w:tc>
          <w:tcPr>
            <w:tcW w:w="5850" w:type="dxa"/>
          </w:tcPr>
          <w:p w:rsidR="00694758" w:rsidRPr="004816EB" w:rsidRDefault="00694758" w:rsidP="004C036A">
            <w:pPr>
              <w:spacing w:after="0"/>
              <w:rPr>
                <w:rFonts w:ascii="Times New Roman" w:hAnsi="Times New Roman" w:cs="Times New Roman"/>
              </w:rPr>
            </w:pPr>
            <w:r w:rsidRPr="004816EB">
              <w:rPr>
                <w:rFonts w:ascii="Times New Roman" w:hAnsi="Times New Roman" w:cs="Times New Roman"/>
              </w:rPr>
              <w:t xml:space="preserve">Doubtful 3 </w:t>
            </w:r>
          </w:p>
        </w:tc>
        <w:tc>
          <w:tcPr>
            <w:tcW w:w="2970" w:type="dxa"/>
            <w:vAlign w:val="bottom"/>
          </w:tcPr>
          <w:p w:rsidR="00694758" w:rsidRPr="004816EB" w:rsidRDefault="004816EB" w:rsidP="00CC3E81">
            <w:pPr>
              <w:spacing w:after="0" w:line="240" w:lineRule="auto"/>
              <w:jc w:val="right"/>
              <w:rPr>
                <w:rFonts w:ascii="Times New Roman" w:hAnsi="Times New Roman" w:cs="Times New Roman"/>
              </w:rPr>
            </w:pPr>
            <w:r>
              <w:rPr>
                <w:rFonts w:ascii="Times New Roman" w:hAnsi="Times New Roman" w:cs="Times New Roman"/>
              </w:rPr>
              <w:t>150625</w:t>
            </w:r>
          </w:p>
        </w:tc>
      </w:tr>
      <w:tr w:rsidR="007344A8" w:rsidRPr="00CA25E2" w:rsidTr="004C036A">
        <w:tc>
          <w:tcPr>
            <w:tcW w:w="828" w:type="dxa"/>
          </w:tcPr>
          <w:p w:rsidR="007344A8" w:rsidRPr="004816EB" w:rsidRDefault="007344A8" w:rsidP="004C036A">
            <w:pPr>
              <w:spacing w:after="0"/>
              <w:rPr>
                <w:rFonts w:ascii="Times New Roman" w:hAnsi="Times New Roman" w:cs="Times New Roman"/>
              </w:rPr>
            </w:pPr>
            <w:r w:rsidRPr="004816EB">
              <w:rPr>
                <w:rFonts w:ascii="Times New Roman" w:hAnsi="Times New Roman" w:cs="Times New Roman"/>
              </w:rPr>
              <w:t>5</w:t>
            </w:r>
          </w:p>
        </w:tc>
        <w:tc>
          <w:tcPr>
            <w:tcW w:w="5850" w:type="dxa"/>
          </w:tcPr>
          <w:p w:rsidR="007344A8" w:rsidRPr="004816EB" w:rsidRDefault="007344A8" w:rsidP="004C036A">
            <w:pPr>
              <w:spacing w:after="0"/>
              <w:rPr>
                <w:rFonts w:ascii="Times New Roman" w:hAnsi="Times New Roman" w:cs="Times New Roman"/>
              </w:rPr>
            </w:pPr>
            <w:r w:rsidRPr="004816EB">
              <w:rPr>
                <w:rFonts w:ascii="Times New Roman" w:hAnsi="Times New Roman" w:cs="Times New Roman"/>
              </w:rPr>
              <w:t>Loss</w:t>
            </w:r>
          </w:p>
        </w:tc>
        <w:tc>
          <w:tcPr>
            <w:tcW w:w="2970" w:type="dxa"/>
            <w:vAlign w:val="bottom"/>
          </w:tcPr>
          <w:p w:rsidR="00573ADE" w:rsidRPr="004816EB" w:rsidRDefault="004816EB" w:rsidP="004816EB">
            <w:pPr>
              <w:spacing w:after="0" w:line="240" w:lineRule="auto"/>
              <w:jc w:val="right"/>
              <w:rPr>
                <w:rFonts w:ascii="Times New Roman" w:hAnsi="Times New Roman" w:cs="Times New Roman"/>
              </w:rPr>
            </w:pPr>
            <w:r>
              <w:rPr>
                <w:rFonts w:ascii="Times New Roman" w:hAnsi="Times New Roman" w:cs="Times New Roman"/>
              </w:rPr>
              <w:t xml:space="preserve">              30567</w:t>
            </w:r>
          </w:p>
        </w:tc>
      </w:tr>
    </w:tbl>
    <w:p w:rsidR="007344A8" w:rsidRPr="00CA25E2" w:rsidRDefault="007344A8" w:rsidP="007344A8">
      <w:pPr>
        <w:spacing w:after="0" w:line="240" w:lineRule="auto"/>
        <w:rPr>
          <w:rFonts w:ascii="Times New Roman" w:hAnsi="Times New Roman" w:cs="Times New Roman"/>
          <w:highlight w:val="yellow"/>
        </w:rPr>
      </w:pPr>
    </w:p>
    <w:p w:rsidR="00F93B68" w:rsidRPr="004816EB" w:rsidRDefault="007344A8" w:rsidP="00F94EB9">
      <w:pPr>
        <w:autoSpaceDE w:val="0"/>
        <w:autoSpaceDN w:val="0"/>
        <w:adjustRightInd w:val="0"/>
        <w:spacing w:after="0" w:line="240" w:lineRule="auto"/>
        <w:rPr>
          <w:rFonts w:ascii="Times New Roman" w:hAnsi="Times New Roman" w:cs="Times New Roman"/>
          <w:b/>
          <w:u w:val="single"/>
        </w:rPr>
      </w:pPr>
      <w:r w:rsidRPr="004816EB">
        <w:rPr>
          <w:rFonts w:ascii="Times New Roman" w:hAnsi="Times New Roman" w:cs="Times New Roman"/>
          <w:b/>
          <w:u w:val="single"/>
        </w:rPr>
        <w:t>Net NPAs</w:t>
      </w:r>
    </w:p>
    <w:p w:rsidR="007344A8" w:rsidRPr="004816EB" w:rsidRDefault="007344A8" w:rsidP="007344A8">
      <w:pPr>
        <w:spacing w:after="0" w:line="240" w:lineRule="auto"/>
        <w:ind w:left="7200"/>
        <w:jc w:val="right"/>
        <w:rPr>
          <w:rFonts w:ascii="Times New Roman" w:hAnsi="Times New Roman" w:cs="Times New Roman"/>
        </w:rPr>
      </w:pPr>
      <w:r w:rsidRPr="004816EB">
        <w:rPr>
          <w:rFonts w:ascii="Times New Roman" w:hAnsi="Times New Roman" w:cs="Times New Roman"/>
          <w:b/>
          <w:bCs/>
        </w:rPr>
        <w:t xml:space="preserve">Amt. in </w:t>
      </w:r>
      <w:r w:rsidR="00B57A71" w:rsidRPr="004816EB">
        <w:rPr>
          <w:rFonts w:ascii="Times New Roman" w:hAnsi="Times New Roman" w:cs="Times New Roman"/>
          <w:b/>
          <w:bCs/>
        </w:rPr>
        <w:t>Lakh</w:t>
      </w:r>
      <w:r w:rsidRPr="004816EB">
        <w:rPr>
          <w:rFonts w:ascii="Times New Roman" w:hAnsi="Times New Roman" w:cs="Times New Roman"/>
          <w:b/>
          <w:bCs/>
        </w:rPr>
        <w:t>s</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7344A8" w:rsidRPr="00CA25E2" w:rsidTr="004C036A">
        <w:tc>
          <w:tcPr>
            <w:tcW w:w="6678" w:type="dxa"/>
          </w:tcPr>
          <w:p w:rsidR="007344A8" w:rsidRPr="004816EB" w:rsidRDefault="007344A8" w:rsidP="004C036A">
            <w:pPr>
              <w:spacing w:after="0"/>
              <w:rPr>
                <w:rFonts w:ascii="Times New Roman" w:hAnsi="Times New Roman" w:cs="Times New Roman"/>
              </w:rPr>
            </w:pPr>
            <w:r w:rsidRPr="004816EB">
              <w:rPr>
                <w:rFonts w:ascii="Times New Roman" w:hAnsi="Times New Roman" w:cs="Times New Roman"/>
              </w:rPr>
              <w:t>Net NPAs</w:t>
            </w:r>
          </w:p>
        </w:tc>
        <w:tc>
          <w:tcPr>
            <w:tcW w:w="2970" w:type="dxa"/>
          </w:tcPr>
          <w:p w:rsidR="007344A8" w:rsidRPr="004816EB" w:rsidRDefault="004816EB" w:rsidP="00E27D52">
            <w:pPr>
              <w:spacing w:after="0"/>
              <w:jc w:val="right"/>
              <w:rPr>
                <w:rFonts w:ascii="Times New Roman" w:hAnsi="Times New Roman" w:cs="Times New Roman"/>
              </w:rPr>
            </w:pPr>
            <w:r w:rsidRPr="004816EB">
              <w:rPr>
                <w:rFonts w:ascii="Times New Roman" w:hAnsi="Times New Roman" w:cs="Times New Roman"/>
              </w:rPr>
              <w:t>432642</w:t>
            </w:r>
          </w:p>
        </w:tc>
      </w:tr>
    </w:tbl>
    <w:p w:rsidR="007344A8" w:rsidRPr="00CA25E2" w:rsidRDefault="007344A8" w:rsidP="007344A8">
      <w:pPr>
        <w:spacing w:after="0" w:line="240" w:lineRule="auto"/>
        <w:rPr>
          <w:rFonts w:ascii="Times New Roman" w:hAnsi="Times New Roman" w:cs="Times New Roman"/>
          <w:b/>
          <w:highlight w:val="yellow"/>
          <w:u w:val="single"/>
        </w:rPr>
      </w:pPr>
    </w:p>
    <w:p w:rsidR="00F93B68" w:rsidRPr="00CA25E2" w:rsidRDefault="00F93B68" w:rsidP="007344A8">
      <w:pPr>
        <w:spacing w:after="0" w:line="240" w:lineRule="auto"/>
        <w:rPr>
          <w:rFonts w:ascii="Times New Roman" w:hAnsi="Times New Roman" w:cs="Times New Roman"/>
          <w:b/>
          <w:highlight w:val="yellow"/>
          <w:u w:val="single"/>
        </w:rPr>
      </w:pPr>
    </w:p>
    <w:p w:rsidR="007344A8" w:rsidRPr="004816EB" w:rsidRDefault="007344A8" w:rsidP="007344A8">
      <w:pPr>
        <w:spacing w:after="0" w:line="240" w:lineRule="auto"/>
        <w:rPr>
          <w:rFonts w:ascii="Times New Roman" w:hAnsi="Times New Roman" w:cs="Times New Roman"/>
          <w:b/>
          <w:u w:val="single"/>
        </w:rPr>
      </w:pPr>
      <w:r w:rsidRPr="004816EB">
        <w:rPr>
          <w:rFonts w:ascii="Times New Roman" w:hAnsi="Times New Roman" w:cs="Times New Roman"/>
          <w:b/>
          <w:u w:val="single"/>
        </w:rPr>
        <w:t>NPA Ratios</w:t>
      </w:r>
    </w:p>
    <w:p w:rsidR="007344A8" w:rsidRPr="004816EB" w:rsidRDefault="007344A8" w:rsidP="007344A8">
      <w:pPr>
        <w:spacing w:after="0" w:line="240" w:lineRule="auto"/>
        <w:rPr>
          <w:rFonts w:ascii="Times New Roman" w:hAnsi="Times New Roman" w:cs="Times New Roman"/>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5850"/>
        <w:gridCol w:w="2970"/>
      </w:tblGrid>
      <w:tr w:rsidR="007344A8" w:rsidRPr="004816EB" w:rsidTr="004C036A">
        <w:tc>
          <w:tcPr>
            <w:tcW w:w="828" w:type="dxa"/>
          </w:tcPr>
          <w:p w:rsidR="007344A8" w:rsidRPr="004816EB" w:rsidRDefault="007344A8" w:rsidP="004C036A">
            <w:pPr>
              <w:spacing w:after="0"/>
              <w:rPr>
                <w:rFonts w:ascii="Times New Roman" w:hAnsi="Times New Roman" w:cs="Times New Roman"/>
              </w:rPr>
            </w:pPr>
          </w:p>
        </w:tc>
        <w:tc>
          <w:tcPr>
            <w:tcW w:w="5850" w:type="dxa"/>
          </w:tcPr>
          <w:p w:rsidR="007344A8" w:rsidRPr="004816EB" w:rsidRDefault="007344A8" w:rsidP="004C036A">
            <w:pPr>
              <w:spacing w:after="0"/>
              <w:rPr>
                <w:rFonts w:ascii="Times New Roman" w:hAnsi="Times New Roman" w:cs="Times New Roman"/>
                <w:b/>
              </w:rPr>
            </w:pPr>
            <w:r w:rsidRPr="004816EB">
              <w:rPr>
                <w:rFonts w:ascii="Times New Roman" w:hAnsi="Times New Roman" w:cs="Times New Roman"/>
                <w:b/>
              </w:rPr>
              <w:t>Category</w:t>
            </w:r>
          </w:p>
        </w:tc>
        <w:tc>
          <w:tcPr>
            <w:tcW w:w="2970" w:type="dxa"/>
          </w:tcPr>
          <w:p w:rsidR="007344A8" w:rsidRPr="004816EB" w:rsidRDefault="007344A8" w:rsidP="004C036A">
            <w:pPr>
              <w:spacing w:after="0"/>
              <w:jc w:val="center"/>
              <w:rPr>
                <w:rFonts w:ascii="Times New Roman" w:hAnsi="Times New Roman" w:cs="Times New Roman"/>
                <w:b/>
              </w:rPr>
            </w:pPr>
            <w:r w:rsidRPr="004816EB">
              <w:rPr>
                <w:rFonts w:ascii="Times New Roman" w:hAnsi="Times New Roman" w:cs="Times New Roman"/>
                <w:b/>
              </w:rPr>
              <w:t>Percent</w:t>
            </w:r>
          </w:p>
        </w:tc>
      </w:tr>
      <w:tr w:rsidR="00E67DE0" w:rsidRPr="004816EB" w:rsidTr="004C036A">
        <w:tc>
          <w:tcPr>
            <w:tcW w:w="828" w:type="dxa"/>
          </w:tcPr>
          <w:p w:rsidR="007344A8" w:rsidRPr="004816EB" w:rsidRDefault="007344A8" w:rsidP="004C036A">
            <w:pPr>
              <w:spacing w:after="0"/>
              <w:rPr>
                <w:rFonts w:ascii="Times New Roman" w:hAnsi="Times New Roman" w:cs="Times New Roman"/>
              </w:rPr>
            </w:pPr>
            <w:r w:rsidRPr="004816EB">
              <w:rPr>
                <w:rFonts w:ascii="Times New Roman" w:hAnsi="Times New Roman" w:cs="Times New Roman"/>
              </w:rPr>
              <w:t>1</w:t>
            </w:r>
          </w:p>
        </w:tc>
        <w:tc>
          <w:tcPr>
            <w:tcW w:w="5850" w:type="dxa"/>
          </w:tcPr>
          <w:p w:rsidR="007344A8" w:rsidRPr="004816EB" w:rsidRDefault="007344A8" w:rsidP="004C036A">
            <w:pPr>
              <w:spacing w:after="0"/>
              <w:rPr>
                <w:rFonts w:ascii="Times New Roman" w:hAnsi="Times New Roman" w:cs="Times New Roman"/>
              </w:rPr>
            </w:pPr>
            <w:r w:rsidRPr="004816EB">
              <w:rPr>
                <w:rFonts w:ascii="Times New Roman" w:hAnsi="Times New Roman" w:cs="Times New Roman"/>
              </w:rPr>
              <w:t>Gross NPAs to Gross advances</w:t>
            </w:r>
          </w:p>
        </w:tc>
        <w:tc>
          <w:tcPr>
            <w:tcW w:w="2970" w:type="dxa"/>
          </w:tcPr>
          <w:p w:rsidR="007344A8" w:rsidRPr="004816EB" w:rsidRDefault="004D041F" w:rsidP="00040909">
            <w:pPr>
              <w:spacing w:after="0" w:line="240" w:lineRule="auto"/>
              <w:jc w:val="right"/>
              <w:rPr>
                <w:rFonts w:ascii="Times New Roman" w:hAnsi="Times New Roman" w:cs="Times New Roman"/>
              </w:rPr>
            </w:pPr>
            <w:r w:rsidRPr="004816EB">
              <w:rPr>
                <w:rFonts w:ascii="Times New Roman" w:hAnsi="Times New Roman" w:cs="Times New Roman"/>
              </w:rPr>
              <w:t>1</w:t>
            </w:r>
            <w:r w:rsidR="004816EB" w:rsidRPr="004816EB">
              <w:rPr>
                <w:rFonts w:ascii="Times New Roman" w:hAnsi="Times New Roman" w:cs="Times New Roman"/>
              </w:rPr>
              <w:t>4.34</w:t>
            </w:r>
            <w:r w:rsidR="00040909" w:rsidRPr="004816EB">
              <w:rPr>
                <w:rFonts w:ascii="Times New Roman" w:hAnsi="Times New Roman" w:cs="Times New Roman"/>
              </w:rPr>
              <w:t>%</w:t>
            </w:r>
          </w:p>
        </w:tc>
      </w:tr>
      <w:tr w:rsidR="007344A8" w:rsidRPr="00CF58D3" w:rsidTr="004C036A">
        <w:tc>
          <w:tcPr>
            <w:tcW w:w="828" w:type="dxa"/>
          </w:tcPr>
          <w:p w:rsidR="007344A8" w:rsidRPr="004816EB" w:rsidRDefault="007344A8" w:rsidP="004C036A">
            <w:pPr>
              <w:spacing w:after="0"/>
              <w:rPr>
                <w:rFonts w:ascii="Times New Roman" w:hAnsi="Times New Roman" w:cs="Times New Roman"/>
              </w:rPr>
            </w:pPr>
            <w:r w:rsidRPr="004816EB">
              <w:rPr>
                <w:rFonts w:ascii="Times New Roman" w:hAnsi="Times New Roman" w:cs="Times New Roman"/>
              </w:rPr>
              <w:t>2</w:t>
            </w:r>
          </w:p>
        </w:tc>
        <w:tc>
          <w:tcPr>
            <w:tcW w:w="5850" w:type="dxa"/>
          </w:tcPr>
          <w:p w:rsidR="007344A8" w:rsidRPr="004816EB" w:rsidRDefault="007344A8" w:rsidP="004C036A">
            <w:pPr>
              <w:spacing w:after="0"/>
              <w:rPr>
                <w:rFonts w:ascii="Times New Roman" w:hAnsi="Times New Roman" w:cs="Times New Roman"/>
              </w:rPr>
            </w:pPr>
            <w:r w:rsidRPr="004816EB">
              <w:rPr>
                <w:rFonts w:ascii="Times New Roman" w:hAnsi="Times New Roman" w:cs="Times New Roman"/>
              </w:rPr>
              <w:t>Net NPAs to Net advances</w:t>
            </w:r>
          </w:p>
        </w:tc>
        <w:tc>
          <w:tcPr>
            <w:tcW w:w="2970" w:type="dxa"/>
          </w:tcPr>
          <w:p w:rsidR="007344A8" w:rsidRPr="00CF58D3" w:rsidRDefault="004816EB" w:rsidP="00040909">
            <w:pPr>
              <w:spacing w:after="0" w:line="240" w:lineRule="auto"/>
              <w:jc w:val="right"/>
              <w:rPr>
                <w:rFonts w:ascii="Times New Roman" w:hAnsi="Times New Roman" w:cs="Times New Roman"/>
              </w:rPr>
            </w:pPr>
            <w:r w:rsidRPr="004816EB">
              <w:rPr>
                <w:rFonts w:ascii="Times New Roman" w:hAnsi="Times New Roman" w:cs="Times New Roman"/>
              </w:rPr>
              <w:t xml:space="preserve">                   7.57</w:t>
            </w:r>
            <w:r w:rsidR="00040909" w:rsidRPr="004816EB">
              <w:rPr>
                <w:rFonts w:ascii="Times New Roman" w:hAnsi="Times New Roman" w:cs="Times New Roman"/>
              </w:rPr>
              <w:t>%</w:t>
            </w:r>
          </w:p>
        </w:tc>
      </w:tr>
    </w:tbl>
    <w:p w:rsidR="007344A8" w:rsidRDefault="007344A8" w:rsidP="007344A8">
      <w:pPr>
        <w:autoSpaceDE w:val="0"/>
        <w:autoSpaceDN w:val="0"/>
        <w:adjustRightInd w:val="0"/>
        <w:spacing w:after="0" w:line="240" w:lineRule="auto"/>
        <w:rPr>
          <w:rFonts w:ascii="Times New Roman" w:hAnsi="Times New Roman" w:cs="Times New Roman"/>
          <w:b/>
          <w:sz w:val="16"/>
          <w:szCs w:val="16"/>
          <w:u w:val="single"/>
        </w:rPr>
      </w:pPr>
    </w:p>
    <w:p w:rsidR="004A4E67" w:rsidRDefault="004A4E67" w:rsidP="007344A8">
      <w:pPr>
        <w:autoSpaceDE w:val="0"/>
        <w:autoSpaceDN w:val="0"/>
        <w:adjustRightInd w:val="0"/>
        <w:spacing w:after="0" w:line="240" w:lineRule="auto"/>
        <w:rPr>
          <w:rFonts w:ascii="Times New Roman" w:hAnsi="Times New Roman" w:cs="Times New Roman"/>
          <w:b/>
          <w:sz w:val="16"/>
          <w:szCs w:val="16"/>
          <w:u w:val="single"/>
        </w:rPr>
      </w:pPr>
    </w:p>
    <w:p w:rsidR="004A4E67" w:rsidRDefault="004A4E67" w:rsidP="007344A8">
      <w:pPr>
        <w:autoSpaceDE w:val="0"/>
        <w:autoSpaceDN w:val="0"/>
        <w:adjustRightInd w:val="0"/>
        <w:spacing w:after="0" w:line="240" w:lineRule="auto"/>
        <w:rPr>
          <w:rFonts w:ascii="Times New Roman" w:hAnsi="Times New Roman" w:cs="Times New Roman"/>
          <w:b/>
          <w:sz w:val="16"/>
          <w:szCs w:val="16"/>
          <w:u w:val="single"/>
        </w:rPr>
      </w:pPr>
    </w:p>
    <w:p w:rsidR="004A4E67" w:rsidRDefault="004A4E67" w:rsidP="007344A8">
      <w:pPr>
        <w:autoSpaceDE w:val="0"/>
        <w:autoSpaceDN w:val="0"/>
        <w:adjustRightInd w:val="0"/>
        <w:spacing w:after="0" w:line="240" w:lineRule="auto"/>
        <w:rPr>
          <w:rFonts w:ascii="Times New Roman" w:hAnsi="Times New Roman" w:cs="Times New Roman"/>
          <w:b/>
          <w:sz w:val="16"/>
          <w:szCs w:val="16"/>
          <w:u w:val="single"/>
        </w:rPr>
      </w:pPr>
    </w:p>
    <w:p w:rsidR="004A4E67" w:rsidRDefault="004A4E67" w:rsidP="007344A8">
      <w:pPr>
        <w:autoSpaceDE w:val="0"/>
        <w:autoSpaceDN w:val="0"/>
        <w:adjustRightInd w:val="0"/>
        <w:spacing w:after="0" w:line="240" w:lineRule="auto"/>
        <w:rPr>
          <w:rFonts w:ascii="Times New Roman" w:hAnsi="Times New Roman" w:cs="Times New Roman"/>
          <w:b/>
          <w:sz w:val="16"/>
          <w:szCs w:val="16"/>
          <w:u w:val="single"/>
        </w:rPr>
      </w:pPr>
    </w:p>
    <w:p w:rsidR="004A4E67" w:rsidRDefault="004A4E67" w:rsidP="007344A8">
      <w:pPr>
        <w:autoSpaceDE w:val="0"/>
        <w:autoSpaceDN w:val="0"/>
        <w:adjustRightInd w:val="0"/>
        <w:spacing w:after="0" w:line="240" w:lineRule="auto"/>
        <w:rPr>
          <w:rFonts w:ascii="Times New Roman" w:hAnsi="Times New Roman" w:cs="Times New Roman"/>
          <w:b/>
          <w:sz w:val="16"/>
          <w:szCs w:val="16"/>
          <w:u w:val="single"/>
        </w:rPr>
      </w:pPr>
    </w:p>
    <w:p w:rsidR="004A4E67" w:rsidRPr="00ED1104" w:rsidRDefault="004A4E67" w:rsidP="007344A8">
      <w:pPr>
        <w:autoSpaceDE w:val="0"/>
        <w:autoSpaceDN w:val="0"/>
        <w:adjustRightInd w:val="0"/>
        <w:spacing w:after="0" w:line="240" w:lineRule="auto"/>
        <w:rPr>
          <w:rFonts w:ascii="Times New Roman" w:hAnsi="Times New Roman" w:cs="Times New Roman"/>
          <w:b/>
          <w:sz w:val="16"/>
          <w:szCs w:val="16"/>
          <w:u w:val="single"/>
        </w:rPr>
      </w:pPr>
    </w:p>
    <w:p w:rsidR="00F93B68" w:rsidRPr="00F94EB9" w:rsidRDefault="00F93B68" w:rsidP="007344A8">
      <w:pPr>
        <w:autoSpaceDE w:val="0"/>
        <w:autoSpaceDN w:val="0"/>
        <w:adjustRightInd w:val="0"/>
        <w:spacing w:after="0" w:line="240" w:lineRule="auto"/>
        <w:rPr>
          <w:rFonts w:ascii="Times New Roman" w:hAnsi="Times New Roman" w:cs="Times New Roman"/>
          <w:b/>
          <w:sz w:val="16"/>
          <w:szCs w:val="16"/>
          <w:u w:val="single"/>
        </w:rPr>
      </w:pPr>
    </w:p>
    <w:p w:rsidR="007344A8" w:rsidRPr="00CF58D3" w:rsidRDefault="007344A8" w:rsidP="007344A8">
      <w:pPr>
        <w:autoSpaceDE w:val="0"/>
        <w:autoSpaceDN w:val="0"/>
        <w:adjustRightInd w:val="0"/>
        <w:spacing w:after="0" w:line="240" w:lineRule="auto"/>
        <w:rPr>
          <w:rFonts w:ascii="Times New Roman" w:hAnsi="Times New Roman" w:cs="Times New Roman"/>
          <w:b/>
          <w:u w:val="single"/>
        </w:rPr>
      </w:pPr>
      <w:r w:rsidRPr="00CF58D3">
        <w:rPr>
          <w:rFonts w:ascii="Times New Roman" w:hAnsi="Times New Roman" w:cs="Times New Roman"/>
          <w:b/>
          <w:u w:val="single"/>
        </w:rPr>
        <w:lastRenderedPageBreak/>
        <w:t>Movement of NPAs (Gross)</w:t>
      </w:r>
    </w:p>
    <w:p w:rsidR="00F93B68" w:rsidRPr="00CF58D3" w:rsidRDefault="00F93B68" w:rsidP="003F1B8D">
      <w:pPr>
        <w:autoSpaceDE w:val="0"/>
        <w:autoSpaceDN w:val="0"/>
        <w:adjustRightInd w:val="0"/>
        <w:spacing w:after="0" w:line="240" w:lineRule="auto"/>
        <w:jc w:val="right"/>
        <w:rPr>
          <w:rFonts w:ascii="Times New Roman" w:hAnsi="Times New Roman" w:cs="Times New Roman"/>
          <w:b/>
          <w:bCs/>
        </w:rPr>
      </w:pPr>
    </w:p>
    <w:p w:rsidR="007344A8" w:rsidRPr="00CF58D3" w:rsidRDefault="003F1B8D" w:rsidP="003F1B8D">
      <w:pPr>
        <w:autoSpaceDE w:val="0"/>
        <w:autoSpaceDN w:val="0"/>
        <w:adjustRightInd w:val="0"/>
        <w:spacing w:after="0" w:line="240" w:lineRule="auto"/>
        <w:jc w:val="right"/>
        <w:rPr>
          <w:rFonts w:ascii="Times New Roman" w:hAnsi="Times New Roman" w:cs="Times New Roman"/>
        </w:rPr>
      </w:pPr>
      <w:r w:rsidRPr="00CF58D3">
        <w:rPr>
          <w:rFonts w:ascii="Times New Roman" w:hAnsi="Times New Roman" w:cs="Times New Roman"/>
          <w:b/>
          <w:bCs/>
        </w:rPr>
        <w:t>Amt. in Lakhs</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970"/>
      </w:tblGrid>
      <w:tr w:rsidR="007344A8" w:rsidRPr="004816EB" w:rsidTr="007344A8">
        <w:trPr>
          <w:trHeight w:val="305"/>
        </w:trPr>
        <w:tc>
          <w:tcPr>
            <w:tcW w:w="6678" w:type="dxa"/>
            <w:shd w:val="clear" w:color="auto" w:fill="auto"/>
          </w:tcPr>
          <w:p w:rsidR="007344A8" w:rsidRPr="004816EB" w:rsidRDefault="007344A8" w:rsidP="004C036A">
            <w:pPr>
              <w:spacing w:after="0"/>
              <w:rPr>
                <w:rFonts w:ascii="Times New Roman" w:hAnsi="Times New Roman" w:cs="Times New Roman"/>
              </w:rPr>
            </w:pPr>
            <w:r w:rsidRPr="004816EB">
              <w:rPr>
                <w:rFonts w:ascii="Times New Roman" w:hAnsi="Times New Roman" w:cs="Times New Roman"/>
              </w:rPr>
              <w:t>Opening Balance</w:t>
            </w:r>
          </w:p>
        </w:tc>
        <w:tc>
          <w:tcPr>
            <w:tcW w:w="2970" w:type="dxa"/>
            <w:shd w:val="clear" w:color="auto" w:fill="auto"/>
          </w:tcPr>
          <w:p w:rsidR="007344A8" w:rsidRPr="004816EB" w:rsidRDefault="004816EB" w:rsidP="00AD44D7">
            <w:pPr>
              <w:spacing w:after="0"/>
              <w:jc w:val="right"/>
              <w:rPr>
                <w:rFonts w:ascii="Times New Roman" w:hAnsi="Times New Roman" w:cs="Times New Roman"/>
                <w:rtl/>
                <w:cs/>
              </w:rPr>
            </w:pPr>
            <w:r w:rsidRPr="004816EB">
              <w:rPr>
                <w:rFonts w:ascii="Times New Roman" w:hAnsi="Times New Roman" w:cs="Times New Roman"/>
              </w:rPr>
              <w:t>887457</w:t>
            </w:r>
          </w:p>
        </w:tc>
      </w:tr>
      <w:tr w:rsidR="007344A8" w:rsidRPr="004816EB" w:rsidTr="004C036A">
        <w:tc>
          <w:tcPr>
            <w:tcW w:w="6678" w:type="dxa"/>
            <w:shd w:val="clear" w:color="auto" w:fill="auto"/>
          </w:tcPr>
          <w:p w:rsidR="007344A8" w:rsidRPr="004816EB" w:rsidRDefault="007344A8" w:rsidP="004C036A">
            <w:pPr>
              <w:spacing w:after="0"/>
              <w:rPr>
                <w:rFonts w:ascii="Times New Roman" w:hAnsi="Times New Roman" w:cs="Times New Roman"/>
              </w:rPr>
            </w:pPr>
            <w:r w:rsidRPr="004816EB">
              <w:rPr>
                <w:rFonts w:ascii="Times New Roman" w:hAnsi="Times New Roman" w:cs="Times New Roman"/>
              </w:rPr>
              <w:t>Additions</w:t>
            </w:r>
          </w:p>
        </w:tc>
        <w:tc>
          <w:tcPr>
            <w:tcW w:w="2970" w:type="dxa"/>
            <w:shd w:val="clear" w:color="auto" w:fill="auto"/>
          </w:tcPr>
          <w:p w:rsidR="007344A8" w:rsidRPr="004816EB" w:rsidRDefault="004816EB" w:rsidP="004A7BF2">
            <w:pPr>
              <w:spacing w:after="0"/>
              <w:jc w:val="right"/>
              <w:rPr>
                <w:rFonts w:ascii="Times New Roman" w:hAnsi="Times New Roman" w:cs="Times New Roman"/>
              </w:rPr>
            </w:pPr>
            <w:r w:rsidRPr="004816EB">
              <w:rPr>
                <w:rFonts w:ascii="Times New Roman" w:hAnsi="Times New Roman" w:cs="Times New Roman"/>
              </w:rPr>
              <w:t>5923</w:t>
            </w:r>
          </w:p>
        </w:tc>
      </w:tr>
      <w:tr w:rsidR="007344A8" w:rsidRPr="004816EB" w:rsidTr="004C036A">
        <w:tc>
          <w:tcPr>
            <w:tcW w:w="6678" w:type="dxa"/>
            <w:shd w:val="clear" w:color="auto" w:fill="auto"/>
          </w:tcPr>
          <w:p w:rsidR="007344A8" w:rsidRPr="004816EB" w:rsidRDefault="007344A8" w:rsidP="004C036A">
            <w:pPr>
              <w:spacing w:after="0"/>
              <w:rPr>
                <w:rFonts w:ascii="Times New Roman" w:hAnsi="Times New Roman" w:cs="Times New Roman"/>
              </w:rPr>
            </w:pPr>
            <w:r w:rsidRPr="004816EB">
              <w:rPr>
                <w:rFonts w:ascii="Times New Roman" w:hAnsi="Times New Roman" w:cs="Times New Roman"/>
              </w:rPr>
              <w:t>Reductions</w:t>
            </w:r>
          </w:p>
        </w:tc>
        <w:tc>
          <w:tcPr>
            <w:tcW w:w="2970" w:type="dxa"/>
            <w:shd w:val="clear" w:color="auto" w:fill="auto"/>
          </w:tcPr>
          <w:p w:rsidR="007344A8" w:rsidRPr="004816EB" w:rsidRDefault="004816EB" w:rsidP="004C036A">
            <w:pPr>
              <w:spacing w:after="0"/>
              <w:jc w:val="right"/>
              <w:rPr>
                <w:rFonts w:ascii="Times New Roman" w:hAnsi="Times New Roman" w:cs="Times New Roman"/>
              </w:rPr>
            </w:pPr>
            <w:r w:rsidRPr="004816EB">
              <w:rPr>
                <w:rFonts w:ascii="Times New Roman" w:hAnsi="Times New Roman" w:cs="Times New Roman"/>
              </w:rPr>
              <w:t>8574</w:t>
            </w:r>
          </w:p>
        </w:tc>
      </w:tr>
      <w:tr w:rsidR="007344A8" w:rsidRPr="004816EB" w:rsidTr="004C036A">
        <w:tc>
          <w:tcPr>
            <w:tcW w:w="6678" w:type="dxa"/>
            <w:shd w:val="clear" w:color="auto" w:fill="auto"/>
          </w:tcPr>
          <w:p w:rsidR="007344A8" w:rsidRPr="004816EB" w:rsidRDefault="007344A8" w:rsidP="004C036A">
            <w:pPr>
              <w:spacing w:after="0"/>
              <w:rPr>
                <w:rFonts w:ascii="Times New Roman" w:hAnsi="Times New Roman" w:cs="Times New Roman"/>
              </w:rPr>
            </w:pPr>
            <w:r w:rsidRPr="004816EB">
              <w:rPr>
                <w:rFonts w:ascii="Times New Roman" w:hAnsi="Times New Roman" w:cs="Times New Roman"/>
              </w:rPr>
              <w:t>Closing Balance</w:t>
            </w:r>
          </w:p>
        </w:tc>
        <w:tc>
          <w:tcPr>
            <w:tcW w:w="2970" w:type="dxa"/>
            <w:shd w:val="clear" w:color="auto" w:fill="auto"/>
          </w:tcPr>
          <w:p w:rsidR="007344A8" w:rsidRPr="004816EB" w:rsidRDefault="004816EB" w:rsidP="004C036A">
            <w:pPr>
              <w:spacing w:after="0"/>
              <w:jc w:val="right"/>
              <w:rPr>
                <w:rFonts w:ascii="Times New Roman" w:hAnsi="Times New Roman" w:cs="Times New Roman"/>
              </w:rPr>
            </w:pPr>
            <w:r w:rsidRPr="004816EB">
              <w:rPr>
                <w:rFonts w:ascii="Times New Roman" w:hAnsi="Times New Roman" w:cs="Times New Roman"/>
              </w:rPr>
              <w:t>884806</w:t>
            </w:r>
          </w:p>
        </w:tc>
      </w:tr>
    </w:tbl>
    <w:p w:rsidR="000F7236" w:rsidRPr="004816EB" w:rsidRDefault="000F7236" w:rsidP="007344A8">
      <w:pPr>
        <w:spacing w:after="0" w:line="240" w:lineRule="auto"/>
        <w:rPr>
          <w:rFonts w:ascii="Times New Roman" w:hAnsi="Times New Roman" w:cs="Times New Roman"/>
        </w:rPr>
      </w:pPr>
    </w:p>
    <w:p w:rsidR="007344A8" w:rsidRPr="00D17E08" w:rsidRDefault="007344A8" w:rsidP="00451266">
      <w:pPr>
        <w:autoSpaceDE w:val="0"/>
        <w:autoSpaceDN w:val="0"/>
        <w:adjustRightInd w:val="0"/>
        <w:spacing w:after="0" w:line="240" w:lineRule="auto"/>
        <w:rPr>
          <w:rFonts w:ascii="Times New Roman" w:hAnsi="Times New Roman" w:cs="Times New Roman"/>
          <w:b/>
          <w:u w:val="single"/>
        </w:rPr>
      </w:pPr>
      <w:r w:rsidRPr="00D17E08">
        <w:rPr>
          <w:rFonts w:ascii="Times New Roman" w:hAnsi="Times New Roman" w:cs="Times New Roman"/>
          <w:b/>
          <w:u w:val="single"/>
        </w:rPr>
        <w:t>Movement of Provisions for NPAs</w:t>
      </w:r>
    </w:p>
    <w:p w:rsidR="00FC0C52" w:rsidRPr="00D17E08" w:rsidRDefault="00FC0C52" w:rsidP="00451266">
      <w:pPr>
        <w:autoSpaceDE w:val="0"/>
        <w:autoSpaceDN w:val="0"/>
        <w:adjustRightInd w:val="0"/>
        <w:spacing w:after="0" w:line="240" w:lineRule="auto"/>
        <w:rPr>
          <w:rFonts w:ascii="Times New Roman" w:hAnsi="Times New Roman" w:cs="Times New Roman"/>
          <w:b/>
          <w:sz w:val="8"/>
          <w:szCs w:val="8"/>
          <w:u w:val="single"/>
        </w:rPr>
      </w:pPr>
    </w:p>
    <w:p w:rsidR="00333A0C" w:rsidRPr="00D17E08" w:rsidRDefault="00333A0C" w:rsidP="00451266">
      <w:pPr>
        <w:autoSpaceDE w:val="0"/>
        <w:autoSpaceDN w:val="0"/>
        <w:adjustRightInd w:val="0"/>
        <w:spacing w:after="0" w:line="240" w:lineRule="auto"/>
        <w:jc w:val="right"/>
        <w:rPr>
          <w:rFonts w:ascii="Times New Roman" w:hAnsi="Times New Roman" w:cs="Times New Roman"/>
          <w:b/>
          <w:u w:val="single"/>
        </w:rPr>
      </w:pPr>
      <w:r w:rsidRPr="00D17E08">
        <w:rPr>
          <w:rFonts w:ascii="Times New Roman" w:hAnsi="Times New Roman" w:cs="Times New Roman"/>
          <w:b/>
          <w:bCs/>
        </w:rPr>
        <w:t>Amt. in Lakhs</w:t>
      </w:r>
    </w:p>
    <w:tbl>
      <w:tblPr>
        <w:tblW w:w="9350" w:type="dxa"/>
        <w:tblInd w:w="95" w:type="dxa"/>
        <w:tblLook w:val="04A0" w:firstRow="1" w:lastRow="0" w:firstColumn="1" w:lastColumn="0" w:noHBand="0" w:noVBand="1"/>
      </w:tblPr>
      <w:tblGrid>
        <w:gridCol w:w="990"/>
        <w:gridCol w:w="6650"/>
        <w:gridCol w:w="1710"/>
      </w:tblGrid>
      <w:tr w:rsidR="00B86A34" w:rsidRPr="00D17E08" w:rsidTr="00685CC1">
        <w:trPr>
          <w:trHeight w:val="34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b/>
                <w:bCs/>
                <w:color w:val="000000" w:themeColor="text1"/>
                <w:sz w:val="24"/>
                <w:szCs w:val="24"/>
                <w:lang w:bidi="hi-IN"/>
              </w:rPr>
            </w:pPr>
            <w:r w:rsidRPr="00D17E08">
              <w:rPr>
                <w:rFonts w:ascii="Times New Roman" w:hAnsi="Times New Roman" w:cs="Times New Roman"/>
                <w:b/>
                <w:bCs/>
                <w:color w:val="000000" w:themeColor="text1"/>
                <w:sz w:val="24"/>
                <w:szCs w:val="24"/>
                <w:lang w:bidi="hi-IN"/>
              </w:rPr>
              <w:t>SL.NO.</w:t>
            </w:r>
          </w:p>
        </w:tc>
        <w:tc>
          <w:tcPr>
            <w:tcW w:w="6650" w:type="dxa"/>
            <w:tcBorders>
              <w:top w:val="single" w:sz="4" w:space="0" w:color="auto"/>
              <w:left w:val="nil"/>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b/>
                <w:bCs/>
                <w:color w:val="000000" w:themeColor="text1"/>
                <w:sz w:val="24"/>
                <w:szCs w:val="24"/>
                <w:lang w:bidi="hi-IN"/>
              </w:rPr>
            </w:pPr>
            <w:r w:rsidRPr="00D17E08">
              <w:rPr>
                <w:rFonts w:ascii="Times New Roman" w:hAnsi="Times New Roman" w:cs="Times New Roman"/>
                <w:b/>
                <w:bCs/>
                <w:color w:val="000000" w:themeColor="text1"/>
                <w:sz w:val="24"/>
                <w:szCs w:val="24"/>
                <w:lang w:bidi="hi-IN"/>
              </w:rPr>
              <w:t>PROVISION</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jc w:val="center"/>
              <w:rPr>
                <w:rFonts w:ascii="Times New Roman" w:hAnsi="Times New Roman" w:cs="Times New Roman"/>
                <w:b/>
                <w:color w:val="000000" w:themeColor="text1"/>
                <w:sz w:val="24"/>
                <w:szCs w:val="24"/>
                <w:lang w:bidi="hi-IN"/>
              </w:rPr>
            </w:pPr>
            <w:r w:rsidRPr="00D17E08">
              <w:rPr>
                <w:rFonts w:ascii="Times New Roman" w:hAnsi="Times New Roman" w:cs="Times New Roman"/>
                <w:b/>
                <w:color w:val="000000" w:themeColor="text1"/>
              </w:rPr>
              <w:t>Provisions for NPAs</w:t>
            </w:r>
          </w:p>
        </w:tc>
      </w:tr>
      <w:tr w:rsidR="00B86A34" w:rsidRPr="00D17E08" w:rsidTr="00685CC1">
        <w:trPr>
          <w:trHeight w:val="34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color w:val="000000" w:themeColor="text1"/>
                <w:sz w:val="24"/>
                <w:szCs w:val="24"/>
                <w:lang w:bidi="hi-IN"/>
              </w:rPr>
            </w:pPr>
            <w:r w:rsidRPr="00D17E08">
              <w:rPr>
                <w:rFonts w:ascii="Times New Roman" w:hAnsi="Times New Roman" w:cs="Times New Roman"/>
                <w:color w:val="000000" w:themeColor="text1"/>
                <w:sz w:val="24"/>
                <w:szCs w:val="24"/>
                <w:lang w:bidi="hi-IN"/>
              </w:rPr>
              <w:t> </w:t>
            </w:r>
          </w:p>
        </w:tc>
        <w:tc>
          <w:tcPr>
            <w:tcW w:w="6650" w:type="dxa"/>
            <w:tcBorders>
              <w:top w:val="nil"/>
              <w:left w:val="nil"/>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b/>
                <w:bCs/>
                <w:color w:val="000000" w:themeColor="text1"/>
                <w:sz w:val="24"/>
                <w:szCs w:val="24"/>
                <w:lang w:bidi="hi-IN"/>
              </w:rPr>
            </w:pPr>
            <w:r w:rsidRPr="00D17E08">
              <w:rPr>
                <w:rFonts w:ascii="Times New Roman" w:hAnsi="Times New Roman" w:cs="Times New Roman"/>
                <w:b/>
                <w:bCs/>
                <w:color w:val="000000" w:themeColor="text1"/>
                <w:sz w:val="24"/>
                <w:szCs w:val="24"/>
                <w:lang w:bidi="hi-IN"/>
              </w:rPr>
              <w:t>OPENING BALANCE</w:t>
            </w:r>
            <w:r w:rsidR="00685CC1" w:rsidRPr="00D17E08">
              <w:rPr>
                <w:rFonts w:ascii="Times New Roman" w:hAnsi="Times New Roman" w:cs="Times New Roman"/>
                <w:b/>
                <w:bCs/>
                <w:color w:val="000000" w:themeColor="text1"/>
                <w:sz w:val="24"/>
                <w:szCs w:val="24"/>
                <w:lang w:bidi="hi-IN"/>
              </w:rPr>
              <w:t xml:space="preserve"> (A) </w:t>
            </w:r>
          </w:p>
        </w:tc>
        <w:tc>
          <w:tcPr>
            <w:tcW w:w="1710" w:type="dxa"/>
            <w:tcBorders>
              <w:top w:val="nil"/>
              <w:left w:val="nil"/>
              <w:bottom w:val="single" w:sz="4" w:space="0" w:color="auto"/>
              <w:right w:val="single" w:sz="4" w:space="0" w:color="auto"/>
            </w:tcBorders>
            <w:shd w:val="clear" w:color="auto" w:fill="auto"/>
            <w:noWrap/>
            <w:vAlign w:val="bottom"/>
          </w:tcPr>
          <w:p w:rsidR="000F7236" w:rsidRPr="00D17E08" w:rsidRDefault="00451266" w:rsidP="00451266">
            <w:pPr>
              <w:spacing w:after="0"/>
              <w:jc w:val="right"/>
              <w:rPr>
                <w:rFonts w:ascii="Times New Roman" w:hAnsi="Times New Roman" w:cs="Times New Roman"/>
              </w:rPr>
            </w:pPr>
            <w:r w:rsidRPr="00D17E08">
              <w:rPr>
                <w:rFonts w:ascii="Times New Roman" w:hAnsi="Times New Roman" w:cs="Times New Roman"/>
              </w:rPr>
              <w:t>413879.78</w:t>
            </w:r>
          </w:p>
        </w:tc>
      </w:tr>
      <w:tr w:rsidR="00B86A34" w:rsidRPr="00D17E08" w:rsidTr="00685CC1">
        <w:trPr>
          <w:trHeight w:val="34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color w:val="000000" w:themeColor="text1"/>
                <w:sz w:val="24"/>
                <w:szCs w:val="24"/>
                <w:lang w:bidi="hi-IN"/>
              </w:rPr>
            </w:pPr>
            <w:r w:rsidRPr="00D17E08">
              <w:rPr>
                <w:rFonts w:ascii="Times New Roman" w:hAnsi="Times New Roman" w:cs="Times New Roman"/>
                <w:color w:val="000000" w:themeColor="text1"/>
                <w:sz w:val="24"/>
                <w:szCs w:val="24"/>
                <w:lang w:bidi="hi-IN"/>
              </w:rPr>
              <w:t> </w:t>
            </w:r>
            <w:r w:rsidRPr="00D17E08">
              <w:rPr>
                <w:rFonts w:ascii="Times New Roman" w:hAnsi="Times New Roman" w:cs="Times New Roman"/>
                <w:b/>
                <w:bCs/>
                <w:color w:val="000000" w:themeColor="text1"/>
                <w:sz w:val="24"/>
                <w:szCs w:val="24"/>
                <w:lang w:bidi="hi-IN"/>
              </w:rPr>
              <w:t>ADD :</w:t>
            </w:r>
          </w:p>
        </w:tc>
        <w:tc>
          <w:tcPr>
            <w:tcW w:w="6650" w:type="dxa"/>
            <w:tcBorders>
              <w:top w:val="nil"/>
              <w:left w:val="nil"/>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b/>
                <w:bCs/>
                <w:color w:val="000000" w:themeColor="text1"/>
                <w:sz w:val="24"/>
                <w:szCs w:val="24"/>
                <w:lang w:bidi="hi-IN"/>
              </w:rPr>
            </w:pPr>
            <w:r w:rsidRPr="00D17E08">
              <w:rPr>
                <w:rFonts w:ascii="Times New Roman" w:hAnsi="Times New Roman" w:cs="Times New Roman"/>
                <w:b/>
                <w:bCs/>
                <w:color w:val="000000" w:themeColor="text1"/>
                <w:sz w:val="24"/>
                <w:szCs w:val="24"/>
                <w:lang w:bidi="hi-IN"/>
              </w:rPr>
              <w:t>Provision made during the Period :</w:t>
            </w:r>
          </w:p>
        </w:tc>
        <w:tc>
          <w:tcPr>
            <w:tcW w:w="1710" w:type="dxa"/>
            <w:tcBorders>
              <w:top w:val="nil"/>
              <w:left w:val="nil"/>
              <w:bottom w:val="single" w:sz="4" w:space="0" w:color="auto"/>
              <w:right w:val="single" w:sz="4" w:space="0" w:color="auto"/>
            </w:tcBorders>
            <w:shd w:val="clear" w:color="auto" w:fill="auto"/>
            <w:noWrap/>
            <w:vAlign w:val="bottom"/>
          </w:tcPr>
          <w:p w:rsidR="000F7236" w:rsidRPr="00D17E08" w:rsidRDefault="00451266" w:rsidP="00451266">
            <w:pPr>
              <w:spacing w:after="0"/>
              <w:jc w:val="center"/>
              <w:rPr>
                <w:rFonts w:ascii="Times New Roman" w:hAnsi="Times New Roman" w:cs="Times New Roman"/>
              </w:rPr>
            </w:pPr>
            <w:r w:rsidRPr="00D17E08">
              <w:rPr>
                <w:rFonts w:ascii="Times New Roman" w:hAnsi="Times New Roman" w:cs="Times New Roman"/>
              </w:rPr>
              <w:t xml:space="preserve">           36997.18</w:t>
            </w:r>
          </w:p>
        </w:tc>
      </w:tr>
      <w:tr w:rsidR="00B86A34" w:rsidRPr="00D17E08" w:rsidTr="00685CC1">
        <w:trPr>
          <w:trHeight w:val="34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b/>
                <w:bCs/>
                <w:color w:val="000000" w:themeColor="text1"/>
                <w:sz w:val="24"/>
                <w:szCs w:val="24"/>
                <w:lang w:bidi="hi-IN"/>
              </w:rPr>
            </w:pPr>
            <w:r w:rsidRPr="00D17E08">
              <w:rPr>
                <w:rFonts w:ascii="Times New Roman" w:hAnsi="Times New Roman" w:cs="Times New Roman"/>
                <w:b/>
                <w:bCs/>
                <w:color w:val="000000" w:themeColor="text1"/>
                <w:sz w:val="24"/>
                <w:szCs w:val="24"/>
                <w:lang w:bidi="hi-IN"/>
              </w:rPr>
              <w:t> Less :</w:t>
            </w:r>
          </w:p>
        </w:tc>
        <w:tc>
          <w:tcPr>
            <w:tcW w:w="6650" w:type="dxa"/>
            <w:tcBorders>
              <w:top w:val="nil"/>
              <w:left w:val="nil"/>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color w:val="000000" w:themeColor="text1"/>
                <w:sz w:val="24"/>
                <w:szCs w:val="24"/>
                <w:lang w:bidi="hi-IN"/>
              </w:rPr>
            </w:pPr>
          </w:p>
        </w:tc>
        <w:tc>
          <w:tcPr>
            <w:tcW w:w="1710" w:type="dxa"/>
            <w:tcBorders>
              <w:top w:val="nil"/>
              <w:left w:val="nil"/>
              <w:bottom w:val="single" w:sz="4" w:space="0" w:color="auto"/>
              <w:right w:val="single" w:sz="4" w:space="0" w:color="auto"/>
            </w:tcBorders>
            <w:shd w:val="clear" w:color="auto" w:fill="auto"/>
            <w:noWrap/>
            <w:vAlign w:val="bottom"/>
          </w:tcPr>
          <w:p w:rsidR="000F7236" w:rsidRPr="00D17E08" w:rsidRDefault="000F7236" w:rsidP="00451266">
            <w:pPr>
              <w:spacing w:after="0"/>
              <w:jc w:val="right"/>
              <w:rPr>
                <w:rFonts w:ascii="Times New Roman" w:hAnsi="Times New Roman" w:cs="Times New Roman"/>
              </w:rPr>
            </w:pPr>
          </w:p>
        </w:tc>
      </w:tr>
      <w:tr w:rsidR="00F13093" w:rsidRPr="00D17E08" w:rsidTr="00685CC1">
        <w:trPr>
          <w:trHeight w:val="34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F13093" w:rsidRPr="00D17E08" w:rsidRDefault="00F13093" w:rsidP="00451266">
            <w:pPr>
              <w:spacing w:after="0" w:line="240" w:lineRule="auto"/>
              <w:jc w:val="right"/>
              <w:rPr>
                <w:rFonts w:ascii="Times New Roman" w:hAnsi="Times New Roman" w:cs="Times New Roman"/>
                <w:color w:val="000000" w:themeColor="text1"/>
                <w:sz w:val="24"/>
                <w:szCs w:val="24"/>
                <w:lang w:bidi="hi-IN"/>
              </w:rPr>
            </w:pPr>
            <w:r w:rsidRPr="00D17E08">
              <w:rPr>
                <w:rFonts w:ascii="Times New Roman" w:hAnsi="Times New Roman" w:cs="Times New Roman"/>
                <w:color w:val="000000" w:themeColor="text1"/>
                <w:sz w:val="24"/>
                <w:szCs w:val="24"/>
                <w:lang w:bidi="hi-IN"/>
              </w:rPr>
              <w:t>a)</w:t>
            </w:r>
          </w:p>
        </w:tc>
        <w:tc>
          <w:tcPr>
            <w:tcW w:w="6650" w:type="dxa"/>
            <w:tcBorders>
              <w:top w:val="nil"/>
              <w:left w:val="nil"/>
              <w:bottom w:val="single" w:sz="4" w:space="0" w:color="auto"/>
              <w:right w:val="single" w:sz="4" w:space="0" w:color="auto"/>
            </w:tcBorders>
            <w:shd w:val="clear" w:color="auto" w:fill="auto"/>
            <w:noWrap/>
            <w:vAlign w:val="bottom"/>
            <w:hideMark/>
          </w:tcPr>
          <w:p w:rsidR="00F13093" w:rsidRPr="00D17E08" w:rsidRDefault="00F13093" w:rsidP="00451266">
            <w:pPr>
              <w:spacing w:after="0" w:line="240" w:lineRule="auto"/>
              <w:rPr>
                <w:rFonts w:ascii="Times New Roman" w:hAnsi="Times New Roman" w:cs="Times New Roman"/>
                <w:color w:val="000000" w:themeColor="text1"/>
                <w:sz w:val="24"/>
                <w:szCs w:val="24"/>
                <w:lang w:bidi="hi-IN"/>
              </w:rPr>
            </w:pPr>
            <w:r w:rsidRPr="00D17E08">
              <w:rPr>
                <w:rFonts w:ascii="Times New Roman" w:hAnsi="Times New Roman" w:cs="Times New Roman"/>
                <w:color w:val="000000" w:themeColor="text1"/>
                <w:sz w:val="24"/>
                <w:szCs w:val="24"/>
                <w:lang w:bidi="hi-IN"/>
              </w:rPr>
              <w:t>Upgraded Accounts</w:t>
            </w:r>
          </w:p>
        </w:tc>
        <w:tc>
          <w:tcPr>
            <w:tcW w:w="1710" w:type="dxa"/>
            <w:tcBorders>
              <w:top w:val="nil"/>
              <w:left w:val="nil"/>
              <w:bottom w:val="single" w:sz="4" w:space="0" w:color="auto"/>
              <w:right w:val="single" w:sz="4" w:space="0" w:color="auto"/>
            </w:tcBorders>
            <w:shd w:val="clear" w:color="auto" w:fill="auto"/>
            <w:noWrap/>
            <w:vAlign w:val="bottom"/>
          </w:tcPr>
          <w:p w:rsidR="00F13093" w:rsidRPr="00D17E08" w:rsidRDefault="00451266" w:rsidP="00451266">
            <w:pPr>
              <w:spacing w:after="0"/>
              <w:jc w:val="right"/>
              <w:rPr>
                <w:rFonts w:ascii="Times New Roman" w:hAnsi="Times New Roman" w:cs="Times New Roman"/>
              </w:rPr>
            </w:pPr>
            <w:r w:rsidRPr="00D17E08">
              <w:rPr>
                <w:rFonts w:ascii="Times New Roman" w:hAnsi="Times New Roman" w:cs="Times New Roman"/>
              </w:rPr>
              <w:t>654.55</w:t>
            </w:r>
          </w:p>
        </w:tc>
      </w:tr>
      <w:tr w:rsidR="00F13093" w:rsidRPr="00D17E08" w:rsidTr="00685CC1">
        <w:trPr>
          <w:trHeight w:val="34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F13093" w:rsidRPr="00D17E08" w:rsidRDefault="00F13093" w:rsidP="00451266">
            <w:pPr>
              <w:spacing w:after="0" w:line="240" w:lineRule="auto"/>
              <w:jc w:val="right"/>
              <w:rPr>
                <w:rFonts w:ascii="Times New Roman" w:hAnsi="Times New Roman" w:cs="Times New Roman"/>
                <w:color w:val="000000" w:themeColor="text1"/>
                <w:sz w:val="24"/>
                <w:szCs w:val="24"/>
                <w:lang w:bidi="hi-IN"/>
              </w:rPr>
            </w:pPr>
            <w:r w:rsidRPr="00D17E08">
              <w:rPr>
                <w:rFonts w:ascii="Times New Roman" w:hAnsi="Times New Roman" w:cs="Times New Roman"/>
                <w:color w:val="000000" w:themeColor="text1"/>
                <w:sz w:val="24"/>
                <w:szCs w:val="24"/>
                <w:lang w:bidi="hi-IN"/>
              </w:rPr>
              <w:t>b)</w:t>
            </w:r>
          </w:p>
        </w:tc>
        <w:tc>
          <w:tcPr>
            <w:tcW w:w="6650" w:type="dxa"/>
            <w:tcBorders>
              <w:top w:val="nil"/>
              <w:left w:val="nil"/>
              <w:bottom w:val="single" w:sz="4" w:space="0" w:color="auto"/>
              <w:right w:val="single" w:sz="4" w:space="0" w:color="auto"/>
            </w:tcBorders>
            <w:shd w:val="clear" w:color="auto" w:fill="auto"/>
            <w:noWrap/>
            <w:vAlign w:val="bottom"/>
            <w:hideMark/>
          </w:tcPr>
          <w:p w:rsidR="00F13093" w:rsidRPr="00D17E08" w:rsidRDefault="00F13093" w:rsidP="00451266">
            <w:pPr>
              <w:spacing w:after="0" w:line="240" w:lineRule="auto"/>
              <w:rPr>
                <w:rFonts w:ascii="Times New Roman" w:hAnsi="Times New Roman" w:cs="Times New Roman"/>
                <w:color w:val="000000" w:themeColor="text1"/>
                <w:sz w:val="24"/>
                <w:szCs w:val="24"/>
                <w:lang w:bidi="hi-IN"/>
              </w:rPr>
            </w:pPr>
            <w:r w:rsidRPr="00D17E08">
              <w:rPr>
                <w:rFonts w:ascii="Times New Roman" w:hAnsi="Times New Roman" w:cs="Times New Roman"/>
                <w:color w:val="000000" w:themeColor="text1"/>
                <w:sz w:val="24"/>
                <w:szCs w:val="24"/>
                <w:lang w:bidi="hi-IN"/>
              </w:rPr>
              <w:t>Write Off / Written Back of Excess Provision *</w:t>
            </w:r>
          </w:p>
        </w:tc>
        <w:tc>
          <w:tcPr>
            <w:tcW w:w="1710" w:type="dxa"/>
            <w:tcBorders>
              <w:top w:val="nil"/>
              <w:left w:val="nil"/>
              <w:bottom w:val="single" w:sz="4" w:space="0" w:color="auto"/>
              <w:right w:val="single" w:sz="4" w:space="0" w:color="auto"/>
            </w:tcBorders>
            <w:shd w:val="clear" w:color="auto" w:fill="auto"/>
            <w:noWrap/>
            <w:vAlign w:val="bottom"/>
          </w:tcPr>
          <w:p w:rsidR="00F13093" w:rsidRPr="00D17E08" w:rsidRDefault="00451266" w:rsidP="00451266">
            <w:pPr>
              <w:spacing w:after="0"/>
              <w:jc w:val="right"/>
              <w:rPr>
                <w:rFonts w:ascii="Times New Roman" w:hAnsi="Times New Roman" w:cs="Times New Roman"/>
              </w:rPr>
            </w:pPr>
            <w:r w:rsidRPr="00D17E08">
              <w:rPr>
                <w:rFonts w:ascii="Times New Roman" w:hAnsi="Times New Roman" w:cs="Times New Roman"/>
              </w:rPr>
              <w:t>3262.65</w:t>
            </w:r>
          </w:p>
        </w:tc>
      </w:tr>
      <w:tr w:rsidR="00B86A34" w:rsidRPr="00D17E08" w:rsidTr="00685CC1">
        <w:trPr>
          <w:trHeight w:val="34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b/>
                <w:bCs/>
                <w:color w:val="000000" w:themeColor="text1"/>
                <w:sz w:val="24"/>
                <w:szCs w:val="24"/>
                <w:lang w:bidi="hi-IN"/>
              </w:rPr>
            </w:pPr>
          </w:p>
        </w:tc>
        <w:tc>
          <w:tcPr>
            <w:tcW w:w="6650" w:type="dxa"/>
            <w:tcBorders>
              <w:top w:val="nil"/>
              <w:left w:val="nil"/>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color w:val="000000" w:themeColor="text1"/>
                <w:sz w:val="24"/>
                <w:szCs w:val="24"/>
                <w:lang w:bidi="hi-IN"/>
              </w:rPr>
            </w:pPr>
            <w:r w:rsidRPr="00D17E08">
              <w:rPr>
                <w:rFonts w:ascii="Times New Roman" w:hAnsi="Times New Roman" w:cs="Times New Roman"/>
                <w:b/>
                <w:bCs/>
                <w:color w:val="000000" w:themeColor="text1"/>
                <w:sz w:val="24"/>
                <w:szCs w:val="24"/>
                <w:lang w:bidi="hi-IN"/>
              </w:rPr>
              <w:t xml:space="preserve">Sub-Total </w:t>
            </w:r>
            <w:r w:rsidRPr="00D17E08">
              <w:rPr>
                <w:rFonts w:ascii="Times New Roman" w:hAnsi="Times New Roman" w:cs="Times New Roman"/>
                <w:color w:val="000000" w:themeColor="text1"/>
                <w:sz w:val="24"/>
                <w:szCs w:val="24"/>
                <w:lang w:bidi="hi-IN"/>
              </w:rPr>
              <w:t>(</w:t>
            </w:r>
            <w:r w:rsidRPr="00D17E08">
              <w:rPr>
                <w:rFonts w:ascii="Times New Roman" w:hAnsi="Times New Roman" w:cs="Times New Roman"/>
                <w:b/>
                <w:bCs/>
                <w:color w:val="000000" w:themeColor="text1"/>
                <w:sz w:val="24"/>
                <w:szCs w:val="24"/>
                <w:lang w:bidi="hi-IN"/>
              </w:rPr>
              <w:t>B)</w:t>
            </w:r>
          </w:p>
        </w:tc>
        <w:tc>
          <w:tcPr>
            <w:tcW w:w="1710" w:type="dxa"/>
            <w:tcBorders>
              <w:top w:val="nil"/>
              <w:left w:val="nil"/>
              <w:bottom w:val="single" w:sz="4" w:space="0" w:color="auto"/>
              <w:right w:val="single" w:sz="4" w:space="0" w:color="auto"/>
            </w:tcBorders>
            <w:shd w:val="clear" w:color="auto" w:fill="auto"/>
            <w:noWrap/>
            <w:vAlign w:val="bottom"/>
          </w:tcPr>
          <w:p w:rsidR="00F13093" w:rsidRPr="00D17E08" w:rsidRDefault="00451266" w:rsidP="00451266">
            <w:pPr>
              <w:spacing w:after="0"/>
              <w:jc w:val="right"/>
              <w:rPr>
                <w:rFonts w:ascii="Times New Roman" w:hAnsi="Times New Roman" w:cs="Times New Roman"/>
              </w:rPr>
            </w:pPr>
            <w:r w:rsidRPr="00D17E08">
              <w:rPr>
                <w:rFonts w:ascii="Times New Roman" w:hAnsi="Times New Roman" w:cs="Times New Roman"/>
              </w:rPr>
              <w:t>3917.20</w:t>
            </w:r>
          </w:p>
          <w:p w:rsidR="000F7236" w:rsidRPr="00D17E08" w:rsidRDefault="000F7236" w:rsidP="00451266">
            <w:pPr>
              <w:spacing w:after="0"/>
              <w:jc w:val="right"/>
              <w:rPr>
                <w:rFonts w:ascii="Times New Roman" w:hAnsi="Times New Roman" w:cs="Times New Roman"/>
              </w:rPr>
            </w:pPr>
          </w:p>
        </w:tc>
      </w:tr>
      <w:tr w:rsidR="00B86A34" w:rsidRPr="00CA25E2" w:rsidTr="00685CC1">
        <w:trPr>
          <w:trHeight w:val="348"/>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b/>
                <w:bCs/>
                <w:color w:val="000000" w:themeColor="text1"/>
                <w:sz w:val="24"/>
                <w:szCs w:val="24"/>
                <w:lang w:bidi="hi-IN"/>
              </w:rPr>
            </w:pPr>
          </w:p>
        </w:tc>
        <w:tc>
          <w:tcPr>
            <w:tcW w:w="6650" w:type="dxa"/>
            <w:tcBorders>
              <w:top w:val="nil"/>
              <w:left w:val="nil"/>
              <w:bottom w:val="single" w:sz="4" w:space="0" w:color="auto"/>
              <w:right w:val="single" w:sz="4" w:space="0" w:color="auto"/>
            </w:tcBorders>
            <w:shd w:val="clear" w:color="auto" w:fill="auto"/>
            <w:noWrap/>
            <w:vAlign w:val="bottom"/>
            <w:hideMark/>
          </w:tcPr>
          <w:p w:rsidR="000F7236" w:rsidRPr="00D17E08" w:rsidRDefault="000F7236" w:rsidP="00451266">
            <w:pPr>
              <w:spacing w:after="0" w:line="240" w:lineRule="auto"/>
              <w:rPr>
                <w:rFonts w:ascii="Times New Roman" w:hAnsi="Times New Roman" w:cs="Times New Roman"/>
                <w:b/>
                <w:bCs/>
                <w:color w:val="000000" w:themeColor="text1"/>
                <w:sz w:val="24"/>
                <w:szCs w:val="24"/>
                <w:lang w:bidi="hi-IN"/>
              </w:rPr>
            </w:pPr>
            <w:r w:rsidRPr="00D17E08">
              <w:rPr>
                <w:rFonts w:ascii="Times New Roman" w:hAnsi="Times New Roman" w:cs="Times New Roman"/>
                <w:b/>
                <w:bCs/>
                <w:color w:val="000000" w:themeColor="text1"/>
                <w:sz w:val="24"/>
                <w:szCs w:val="24"/>
                <w:lang w:bidi="hi-IN"/>
              </w:rPr>
              <w:t>CLOSING BALANCE (C)</w:t>
            </w:r>
          </w:p>
        </w:tc>
        <w:tc>
          <w:tcPr>
            <w:tcW w:w="1710" w:type="dxa"/>
            <w:tcBorders>
              <w:top w:val="nil"/>
              <w:left w:val="nil"/>
              <w:bottom w:val="single" w:sz="4" w:space="0" w:color="auto"/>
              <w:right w:val="single" w:sz="4" w:space="0" w:color="auto"/>
            </w:tcBorders>
            <w:shd w:val="clear" w:color="auto" w:fill="auto"/>
            <w:noWrap/>
            <w:vAlign w:val="bottom"/>
          </w:tcPr>
          <w:p w:rsidR="00F13093" w:rsidRPr="00D17E08" w:rsidRDefault="00451266" w:rsidP="00451266">
            <w:pPr>
              <w:spacing w:after="0"/>
              <w:jc w:val="right"/>
              <w:rPr>
                <w:rFonts w:ascii="Times New Roman" w:hAnsi="Times New Roman" w:cs="Times New Roman"/>
              </w:rPr>
            </w:pPr>
            <w:r w:rsidRPr="00D17E08">
              <w:rPr>
                <w:rFonts w:ascii="Times New Roman" w:hAnsi="Times New Roman" w:cs="Times New Roman"/>
              </w:rPr>
              <w:t>446959.76</w:t>
            </w:r>
          </w:p>
          <w:p w:rsidR="000F7236" w:rsidRPr="00D17E08" w:rsidRDefault="000F7236" w:rsidP="00451266">
            <w:pPr>
              <w:spacing w:after="0"/>
              <w:jc w:val="right"/>
              <w:rPr>
                <w:rFonts w:ascii="Times New Roman" w:hAnsi="Times New Roman" w:cs="Times New Roman"/>
              </w:rPr>
            </w:pPr>
          </w:p>
        </w:tc>
      </w:tr>
    </w:tbl>
    <w:p w:rsidR="00376A15" w:rsidRPr="00CA25E2" w:rsidRDefault="00376A15" w:rsidP="007344A8">
      <w:pPr>
        <w:autoSpaceDE w:val="0"/>
        <w:autoSpaceDN w:val="0"/>
        <w:adjustRightInd w:val="0"/>
        <w:spacing w:after="0" w:line="240" w:lineRule="auto"/>
        <w:rPr>
          <w:rFonts w:ascii="Times New Roman" w:hAnsi="Times New Roman" w:cs="Times New Roman"/>
          <w:highlight w:val="yellow"/>
        </w:rPr>
      </w:pPr>
    </w:p>
    <w:p w:rsidR="00376A15" w:rsidRPr="004816EB" w:rsidRDefault="00376A15" w:rsidP="007344A8">
      <w:pPr>
        <w:autoSpaceDE w:val="0"/>
        <w:autoSpaceDN w:val="0"/>
        <w:adjustRightInd w:val="0"/>
        <w:spacing w:after="0" w:line="240" w:lineRule="auto"/>
        <w:rPr>
          <w:rFonts w:ascii="Times New Roman" w:hAnsi="Times New Roman" w:cs="Times New Roman"/>
          <w:b/>
          <w:bCs/>
          <w:sz w:val="24"/>
          <w:szCs w:val="24"/>
          <w:u w:val="single"/>
        </w:rPr>
      </w:pPr>
      <w:r w:rsidRPr="004816EB">
        <w:rPr>
          <w:rFonts w:ascii="Times New Roman" w:hAnsi="Times New Roman" w:cs="Times New Roman"/>
          <w:b/>
          <w:bCs/>
          <w:sz w:val="24"/>
          <w:szCs w:val="24"/>
          <w:u w:val="single"/>
        </w:rPr>
        <w:t>Details of write offs &amp; recoveries that have been booked directly to the Income statement</w:t>
      </w:r>
    </w:p>
    <w:p w:rsidR="00F93B68" w:rsidRPr="004816EB" w:rsidRDefault="00F93B68" w:rsidP="007344A8">
      <w:pPr>
        <w:autoSpaceDE w:val="0"/>
        <w:autoSpaceDN w:val="0"/>
        <w:adjustRightInd w:val="0"/>
        <w:spacing w:after="0" w:line="240" w:lineRule="auto"/>
        <w:rPr>
          <w:rFonts w:ascii="Times New Roman" w:hAnsi="Times New Roman" w:cs="Times New Roman"/>
          <w:b/>
          <w:bCs/>
          <w:sz w:val="24"/>
          <w:szCs w:val="24"/>
          <w:u w:val="single"/>
        </w:rPr>
      </w:pPr>
    </w:p>
    <w:p w:rsidR="00376A15" w:rsidRPr="004816EB" w:rsidRDefault="00376A15" w:rsidP="00376A15">
      <w:pPr>
        <w:autoSpaceDE w:val="0"/>
        <w:autoSpaceDN w:val="0"/>
        <w:adjustRightInd w:val="0"/>
        <w:spacing w:after="0" w:line="240" w:lineRule="auto"/>
        <w:jc w:val="right"/>
        <w:rPr>
          <w:rFonts w:ascii="Times New Roman" w:hAnsi="Times New Roman" w:cs="Times New Roman"/>
          <w:b/>
          <w:bCs/>
          <w:u w:val="single"/>
        </w:rPr>
      </w:pPr>
      <w:r w:rsidRPr="004816EB">
        <w:rPr>
          <w:rFonts w:ascii="Times New Roman" w:hAnsi="Times New Roman" w:cs="Times New Roman"/>
          <w:b/>
          <w:bCs/>
        </w:rPr>
        <w:t>Amt. in Lakhs</w:t>
      </w:r>
    </w:p>
    <w:tbl>
      <w:tblPr>
        <w:tblW w:w="93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0"/>
        <w:gridCol w:w="1710"/>
      </w:tblGrid>
      <w:tr w:rsidR="009D39C6" w:rsidRPr="004816EB" w:rsidTr="00685CC1">
        <w:trPr>
          <w:trHeight w:val="300"/>
        </w:trPr>
        <w:tc>
          <w:tcPr>
            <w:tcW w:w="7660" w:type="dxa"/>
            <w:shd w:val="clear" w:color="auto" w:fill="auto"/>
            <w:vAlign w:val="center"/>
            <w:hideMark/>
          </w:tcPr>
          <w:p w:rsidR="00376A15" w:rsidRPr="004816EB" w:rsidRDefault="00376A15" w:rsidP="00376A15">
            <w:pPr>
              <w:spacing w:after="0" w:line="240" w:lineRule="auto"/>
              <w:rPr>
                <w:rFonts w:ascii="Times New Roman" w:hAnsi="Times New Roman" w:cs="Times New Roman"/>
                <w:sz w:val="24"/>
                <w:szCs w:val="24"/>
                <w:lang w:bidi="hi-IN"/>
              </w:rPr>
            </w:pPr>
            <w:r w:rsidRPr="004816EB">
              <w:rPr>
                <w:rFonts w:ascii="Times New Roman" w:hAnsi="Times New Roman" w:cs="Times New Roman"/>
                <w:sz w:val="24"/>
                <w:szCs w:val="24"/>
                <w:lang w:bidi="hi-IN"/>
              </w:rPr>
              <w:t>Interest On Loans &amp; Advances Technically Written Off Cases</w:t>
            </w:r>
          </w:p>
        </w:tc>
        <w:tc>
          <w:tcPr>
            <w:tcW w:w="1710" w:type="dxa"/>
            <w:shd w:val="clear" w:color="auto" w:fill="auto"/>
            <w:vAlign w:val="center"/>
            <w:hideMark/>
          </w:tcPr>
          <w:p w:rsidR="00376A15" w:rsidRPr="004816EB" w:rsidRDefault="004816EB" w:rsidP="000B7515">
            <w:pPr>
              <w:spacing w:after="0" w:line="240" w:lineRule="auto"/>
              <w:jc w:val="center"/>
              <w:rPr>
                <w:rFonts w:ascii="Times New Roman" w:hAnsi="Times New Roman" w:cs="Times New Roman"/>
                <w:sz w:val="24"/>
                <w:szCs w:val="24"/>
                <w:lang w:bidi="hi-IN"/>
              </w:rPr>
            </w:pPr>
            <w:r w:rsidRPr="004816EB">
              <w:rPr>
                <w:rFonts w:ascii="Times New Roman" w:hAnsi="Times New Roman" w:cs="Times New Roman"/>
                <w:sz w:val="24"/>
                <w:szCs w:val="24"/>
                <w:lang w:bidi="hi-IN"/>
              </w:rPr>
              <w:t>151.46</w:t>
            </w:r>
          </w:p>
        </w:tc>
      </w:tr>
      <w:tr w:rsidR="009D39C6" w:rsidRPr="004816EB" w:rsidTr="00685CC1">
        <w:trPr>
          <w:trHeight w:val="300"/>
        </w:trPr>
        <w:tc>
          <w:tcPr>
            <w:tcW w:w="7660" w:type="dxa"/>
            <w:shd w:val="clear" w:color="auto" w:fill="auto"/>
            <w:vAlign w:val="center"/>
            <w:hideMark/>
          </w:tcPr>
          <w:p w:rsidR="00376A15" w:rsidRPr="004816EB" w:rsidRDefault="00376A15" w:rsidP="00376A15">
            <w:pPr>
              <w:spacing w:after="0" w:line="240" w:lineRule="auto"/>
              <w:rPr>
                <w:rFonts w:ascii="Times New Roman" w:hAnsi="Times New Roman" w:cs="Times New Roman"/>
                <w:sz w:val="24"/>
                <w:szCs w:val="24"/>
                <w:lang w:bidi="hi-IN"/>
              </w:rPr>
            </w:pPr>
            <w:r w:rsidRPr="004816EB">
              <w:rPr>
                <w:rFonts w:ascii="Times New Roman" w:hAnsi="Times New Roman" w:cs="Times New Roman"/>
                <w:sz w:val="24"/>
                <w:szCs w:val="24"/>
                <w:lang w:bidi="hi-IN"/>
              </w:rPr>
              <w:t>Miscellaneous  Income-Recovery In Technical  Write Off A/Cs</w:t>
            </w:r>
          </w:p>
        </w:tc>
        <w:tc>
          <w:tcPr>
            <w:tcW w:w="1710" w:type="dxa"/>
            <w:shd w:val="clear" w:color="auto" w:fill="auto"/>
            <w:vAlign w:val="center"/>
            <w:hideMark/>
          </w:tcPr>
          <w:p w:rsidR="00376A15" w:rsidRPr="004816EB" w:rsidRDefault="004816EB" w:rsidP="000B7515">
            <w:pPr>
              <w:spacing w:after="0" w:line="240" w:lineRule="auto"/>
              <w:jc w:val="center"/>
              <w:rPr>
                <w:rFonts w:ascii="Times New Roman" w:hAnsi="Times New Roman" w:cs="Times New Roman"/>
                <w:sz w:val="24"/>
                <w:szCs w:val="24"/>
                <w:lang w:bidi="hi-IN"/>
              </w:rPr>
            </w:pPr>
            <w:r w:rsidRPr="004816EB">
              <w:rPr>
                <w:rFonts w:ascii="Times New Roman" w:hAnsi="Times New Roman" w:cs="Times New Roman"/>
                <w:sz w:val="24"/>
                <w:szCs w:val="24"/>
                <w:lang w:bidi="hi-IN"/>
              </w:rPr>
              <w:t>741.93</w:t>
            </w:r>
          </w:p>
        </w:tc>
      </w:tr>
      <w:tr w:rsidR="009D39C6" w:rsidRPr="00CF58D3" w:rsidTr="00685CC1">
        <w:trPr>
          <w:trHeight w:val="300"/>
        </w:trPr>
        <w:tc>
          <w:tcPr>
            <w:tcW w:w="7660" w:type="dxa"/>
            <w:shd w:val="clear" w:color="auto" w:fill="auto"/>
            <w:vAlign w:val="center"/>
            <w:hideMark/>
          </w:tcPr>
          <w:p w:rsidR="00376A15" w:rsidRPr="004816EB" w:rsidRDefault="00376A15" w:rsidP="00376A15">
            <w:pPr>
              <w:spacing w:after="0" w:line="240" w:lineRule="auto"/>
              <w:rPr>
                <w:rFonts w:ascii="Times New Roman" w:hAnsi="Times New Roman" w:cs="Times New Roman"/>
                <w:sz w:val="24"/>
                <w:szCs w:val="24"/>
                <w:lang w:bidi="hi-IN"/>
              </w:rPr>
            </w:pPr>
            <w:r w:rsidRPr="004816EB">
              <w:rPr>
                <w:rFonts w:ascii="Times New Roman" w:hAnsi="Times New Roman" w:cs="Times New Roman"/>
                <w:b/>
                <w:bCs/>
                <w:sz w:val="24"/>
                <w:szCs w:val="24"/>
                <w:lang w:bidi="hi-IN"/>
              </w:rPr>
              <w:t>TOTAL</w:t>
            </w:r>
          </w:p>
        </w:tc>
        <w:tc>
          <w:tcPr>
            <w:tcW w:w="1710" w:type="dxa"/>
            <w:shd w:val="clear" w:color="auto" w:fill="auto"/>
            <w:vAlign w:val="center"/>
            <w:hideMark/>
          </w:tcPr>
          <w:p w:rsidR="00376A15" w:rsidRPr="00CF58D3" w:rsidRDefault="004816EB" w:rsidP="000B7515">
            <w:pPr>
              <w:spacing w:after="0" w:line="240" w:lineRule="auto"/>
              <w:jc w:val="center"/>
              <w:rPr>
                <w:rFonts w:ascii="Times New Roman" w:hAnsi="Times New Roman" w:cs="Times New Roman"/>
                <w:sz w:val="24"/>
                <w:szCs w:val="24"/>
                <w:lang w:bidi="hi-IN"/>
              </w:rPr>
            </w:pPr>
            <w:r w:rsidRPr="004816EB">
              <w:rPr>
                <w:rFonts w:ascii="Times New Roman" w:hAnsi="Times New Roman" w:cs="Times New Roman"/>
                <w:b/>
                <w:bCs/>
                <w:sz w:val="24"/>
                <w:szCs w:val="24"/>
                <w:lang w:bidi="hi-IN"/>
              </w:rPr>
              <w:t>893.39</w:t>
            </w:r>
          </w:p>
        </w:tc>
      </w:tr>
    </w:tbl>
    <w:p w:rsidR="007344A8" w:rsidRPr="00CF58D3" w:rsidRDefault="007344A8" w:rsidP="007344A8">
      <w:pPr>
        <w:spacing w:after="0" w:line="240" w:lineRule="auto"/>
        <w:rPr>
          <w:rFonts w:ascii="Times New Roman" w:hAnsi="Times New Roman" w:cs="Times New Roman"/>
        </w:rPr>
      </w:pPr>
    </w:p>
    <w:p w:rsidR="007344A8" w:rsidRPr="00CF58D3" w:rsidRDefault="007344A8" w:rsidP="007344A8">
      <w:pPr>
        <w:autoSpaceDE w:val="0"/>
        <w:autoSpaceDN w:val="0"/>
        <w:adjustRightInd w:val="0"/>
        <w:spacing w:after="0" w:line="240" w:lineRule="auto"/>
        <w:rPr>
          <w:rFonts w:ascii="Times New Roman" w:hAnsi="Times New Roman" w:cs="Times New Roman"/>
        </w:rPr>
      </w:pPr>
      <w:r w:rsidRPr="00CF58D3">
        <w:rPr>
          <w:rFonts w:ascii="Times New Roman" w:hAnsi="Times New Roman" w:cs="Times New Roman"/>
          <w:b/>
          <w:u w:val="single"/>
        </w:rPr>
        <w:t>Amount of Non-Performing Investments</w:t>
      </w:r>
    </w:p>
    <w:p w:rsidR="007344A8" w:rsidRPr="00CF58D3" w:rsidRDefault="003F1B8D" w:rsidP="003F1B8D">
      <w:pPr>
        <w:autoSpaceDE w:val="0"/>
        <w:autoSpaceDN w:val="0"/>
        <w:adjustRightInd w:val="0"/>
        <w:spacing w:after="0" w:line="240" w:lineRule="auto"/>
        <w:jc w:val="right"/>
        <w:rPr>
          <w:rFonts w:ascii="Times New Roman" w:hAnsi="Times New Roman" w:cs="Times New Roman"/>
        </w:rPr>
      </w:pPr>
      <w:r w:rsidRPr="00CF58D3">
        <w:rPr>
          <w:rFonts w:ascii="Times New Roman" w:hAnsi="Times New Roman" w:cs="Times New Roman"/>
          <w:b/>
          <w:bCs/>
        </w:rPr>
        <w:t>Amt. in Lakhs</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767"/>
      </w:tblGrid>
      <w:tr w:rsidR="007344A8" w:rsidRPr="00CF58D3" w:rsidTr="00685CC1">
        <w:tc>
          <w:tcPr>
            <w:tcW w:w="6678" w:type="dxa"/>
          </w:tcPr>
          <w:p w:rsidR="007344A8" w:rsidRPr="00CF58D3" w:rsidRDefault="007344A8" w:rsidP="004C036A">
            <w:pPr>
              <w:spacing w:after="0"/>
              <w:rPr>
                <w:rFonts w:ascii="Times New Roman" w:hAnsi="Times New Roman" w:cs="Times New Roman"/>
              </w:rPr>
            </w:pPr>
            <w:r w:rsidRPr="00CF58D3">
              <w:rPr>
                <w:rFonts w:ascii="Times New Roman" w:hAnsi="Times New Roman" w:cs="Times New Roman"/>
              </w:rPr>
              <w:t xml:space="preserve">Amount of Non-Performing Investments </w:t>
            </w:r>
          </w:p>
        </w:tc>
        <w:tc>
          <w:tcPr>
            <w:tcW w:w="2767" w:type="dxa"/>
          </w:tcPr>
          <w:p w:rsidR="007344A8" w:rsidRPr="00CF58D3" w:rsidRDefault="00CA25E2" w:rsidP="00832F75">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46833</w:t>
            </w:r>
          </w:p>
        </w:tc>
      </w:tr>
    </w:tbl>
    <w:p w:rsidR="007344A8" w:rsidRPr="00CF58D3" w:rsidRDefault="007344A8" w:rsidP="007344A8">
      <w:pPr>
        <w:spacing w:after="0" w:line="240" w:lineRule="auto"/>
        <w:rPr>
          <w:rFonts w:ascii="Times New Roman" w:hAnsi="Times New Roman" w:cs="Times New Roman"/>
        </w:rPr>
      </w:pPr>
    </w:p>
    <w:p w:rsidR="00F93B68" w:rsidRPr="00CF58D3" w:rsidRDefault="00F93B68" w:rsidP="007344A8">
      <w:pPr>
        <w:autoSpaceDE w:val="0"/>
        <w:autoSpaceDN w:val="0"/>
        <w:adjustRightInd w:val="0"/>
        <w:spacing w:after="0" w:line="240" w:lineRule="auto"/>
        <w:rPr>
          <w:rFonts w:ascii="Times New Roman" w:hAnsi="Times New Roman" w:cs="Times New Roman"/>
          <w:b/>
          <w:u w:val="single"/>
        </w:rPr>
      </w:pPr>
    </w:p>
    <w:p w:rsidR="007344A8" w:rsidRPr="00CF58D3" w:rsidRDefault="007344A8" w:rsidP="007344A8">
      <w:pPr>
        <w:autoSpaceDE w:val="0"/>
        <w:autoSpaceDN w:val="0"/>
        <w:adjustRightInd w:val="0"/>
        <w:spacing w:after="0" w:line="240" w:lineRule="auto"/>
        <w:rPr>
          <w:rFonts w:ascii="Times New Roman" w:hAnsi="Times New Roman" w:cs="Times New Roman"/>
        </w:rPr>
      </w:pPr>
      <w:r w:rsidRPr="00CF58D3">
        <w:rPr>
          <w:rFonts w:ascii="Times New Roman" w:hAnsi="Times New Roman" w:cs="Times New Roman"/>
          <w:b/>
          <w:u w:val="single"/>
        </w:rPr>
        <w:t>Amount of provisions held for non-performing investments</w:t>
      </w:r>
    </w:p>
    <w:p w:rsidR="007344A8" w:rsidRPr="00CF58D3" w:rsidRDefault="003F1B8D" w:rsidP="003F1B8D">
      <w:pPr>
        <w:spacing w:after="0" w:line="240" w:lineRule="auto"/>
        <w:jc w:val="right"/>
        <w:rPr>
          <w:rFonts w:ascii="Times New Roman" w:hAnsi="Times New Roman" w:cs="Times New Roman"/>
        </w:rPr>
      </w:pPr>
      <w:r w:rsidRPr="00CF58D3">
        <w:rPr>
          <w:rFonts w:ascii="Times New Roman" w:hAnsi="Times New Roman" w:cs="Times New Roman"/>
          <w:b/>
          <w:bCs/>
        </w:rPr>
        <w:t>Amt. in Lakhs</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857"/>
      </w:tblGrid>
      <w:tr w:rsidR="007344A8" w:rsidRPr="00CF58D3" w:rsidTr="00685CC1">
        <w:tc>
          <w:tcPr>
            <w:tcW w:w="6678" w:type="dxa"/>
          </w:tcPr>
          <w:p w:rsidR="007344A8" w:rsidRPr="00CF58D3" w:rsidRDefault="007344A8" w:rsidP="004C036A">
            <w:pPr>
              <w:spacing w:after="0"/>
              <w:rPr>
                <w:rFonts w:ascii="Times New Roman" w:hAnsi="Times New Roman" w:cs="Times New Roman"/>
              </w:rPr>
            </w:pPr>
            <w:r w:rsidRPr="00CF58D3">
              <w:rPr>
                <w:rFonts w:ascii="Times New Roman" w:hAnsi="Times New Roman" w:cs="Times New Roman"/>
              </w:rPr>
              <w:t>Provisions held for non-performing investments</w:t>
            </w:r>
          </w:p>
        </w:tc>
        <w:tc>
          <w:tcPr>
            <w:tcW w:w="2857" w:type="dxa"/>
          </w:tcPr>
          <w:p w:rsidR="007344A8" w:rsidRPr="00CF58D3" w:rsidRDefault="00CA25E2" w:rsidP="003A5A81">
            <w:pPr>
              <w:spacing w:after="0" w:line="240" w:lineRule="auto"/>
              <w:jc w:val="right"/>
              <w:rPr>
                <w:rFonts w:ascii="Times New Roman" w:hAnsi="Times New Roman" w:cs="Times New Roman"/>
                <w:sz w:val="24"/>
                <w:szCs w:val="24"/>
                <w:lang w:bidi="hi-IN"/>
              </w:rPr>
            </w:pPr>
            <w:r>
              <w:rPr>
                <w:rFonts w:ascii="Times New Roman" w:hAnsi="Times New Roman" w:cs="Times New Roman"/>
              </w:rPr>
              <w:t>38308</w:t>
            </w:r>
          </w:p>
        </w:tc>
      </w:tr>
    </w:tbl>
    <w:p w:rsidR="00A80BA9" w:rsidRPr="00CF58D3" w:rsidRDefault="00A80BA9" w:rsidP="007344A8">
      <w:pPr>
        <w:autoSpaceDE w:val="0"/>
        <w:autoSpaceDN w:val="0"/>
        <w:adjustRightInd w:val="0"/>
        <w:spacing w:after="0" w:line="240" w:lineRule="auto"/>
        <w:rPr>
          <w:rFonts w:ascii="Times New Roman" w:hAnsi="Times New Roman" w:cs="Times New Roman"/>
          <w:b/>
          <w:u w:val="single"/>
        </w:rPr>
      </w:pPr>
    </w:p>
    <w:p w:rsidR="007344A8" w:rsidRPr="00CF58D3" w:rsidRDefault="007344A8" w:rsidP="007344A8">
      <w:pPr>
        <w:autoSpaceDE w:val="0"/>
        <w:autoSpaceDN w:val="0"/>
        <w:adjustRightInd w:val="0"/>
        <w:spacing w:after="0" w:line="240" w:lineRule="auto"/>
        <w:rPr>
          <w:rFonts w:ascii="Times New Roman" w:hAnsi="Times New Roman" w:cs="Times New Roman"/>
        </w:rPr>
      </w:pPr>
      <w:r w:rsidRPr="00CF58D3">
        <w:rPr>
          <w:rFonts w:ascii="Times New Roman" w:hAnsi="Times New Roman" w:cs="Times New Roman"/>
          <w:b/>
          <w:u w:val="single"/>
        </w:rPr>
        <w:t>Movement of provisions for depreciation on investments</w:t>
      </w:r>
    </w:p>
    <w:p w:rsidR="007344A8" w:rsidRPr="00CF58D3" w:rsidRDefault="003F1B8D" w:rsidP="003F1B8D">
      <w:pPr>
        <w:spacing w:after="0" w:line="240" w:lineRule="auto"/>
        <w:jc w:val="right"/>
        <w:rPr>
          <w:rFonts w:ascii="Times New Roman" w:hAnsi="Times New Roman" w:cs="Times New Roman"/>
        </w:rPr>
      </w:pPr>
      <w:r w:rsidRPr="00CF58D3">
        <w:rPr>
          <w:rFonts w:ascii="Times New Roman" w:hAnsi="Times New Roman" w:cs="Times New Roman"/>
          <w:b/>
          <w:bCs/>
        </w:rPr>
        <w:t>Amt. in Lakhs</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8"/>
        <w:gridCol w:w="2857"/>
      </w:tblGrid>
      <w:tr w:rsidR="004C66BE" w:rsidRPr="00CF58D3" w:rsidTr="00685CC1">
        <w:tc>
          <w:tcPr>
            <w:tcW w:w="6678" w:type="dxa"/>
          </w:tcPr>
          <w:p w:rsidR="004C66BE" w:rsidRPr="00CF58D3" w:rsidRDefault="004C66BE" w:rsidP="004C66BE">
            <w:pPr>
              <w:spacing w:after="0"/>
              <w:rPr>
                <w:rFonts w:ascii="Times New Roman" w:hAnsi="Times New Roman" w:cs="Times New Roman"/>
              </w:rPr>
            </w:pPr>
            <w:r w:rsidRPr="00CF58D3">
              <w:rPr>
                <w:rFonts w:ascii="Times New Roman" w:hAnsi="Times New Roman" w:cs="Times New Roman"/>
              </w:rPr>
              <w:t>Opening Balance</w:t>
            </w:r>
          </w:p>
        </w:tc>
        <w:tc>
          <w:tcPr>
            <w:tcW w:w="2857" w:type="dxa"/>
          </w:tcPr>
          <w:p w:rsidR="004C66BE" w:rsidRPr="00CF58D3" w:rsidRDefault="00B852DA" w:rsidP="00B62FB6">
            <w:pPr>
              <w:spacing w:after="0" w:line="240" w:lineRule="auto"/>
              <w:jc w:val="right"/>
              <w:rPr>
                <w:rFonts w:ascii="Times New Roman" w:hAnsi="Times New Roman" w:cs="Times New Roman"/>
                <w:sz w:val="24"/>
                <w:szCs w:val="24"/>
                <w:lang w:bidi="hi-IN"/>
              </w:rPr>
            </w:pPr>
            <w:r>
              <w:rPr>
                <w:rFonts w:ascii="Times New Roman" w:hAnsi="Times New Roman" w:cs="Times New Roman"/>
              </w:rPr>
              <w:t>1117</w:t>
            </w:r>
          </w:p>
        </w:tc>
      </w:tr>
      <w:tr w:rsidR="004C66BE" w:rsidRPr="00CF58D3" w:rsidTr="00685CC1">
        <w:tc>
          <w:tcPr>
            <w:tcW w:w="6678" w:type="dxa"/>
          </w:tcPr>
          <w:p w:rsidR="004C66BE" w:rsidRPr="00CF58D3" w:rsidRDefault="004C66BE" w:rsidP="004C66BE">
            <w:pPr>
              <w:spacing w:after="0"/>
              <w:rPr>
                <w:rFonts w:ascii="Times New Roman" w:hAnsi="Times New Roman" w:cs="Times New Roman"/>
              </w:rPr>
            </w:pPr>
            <w:r w:rsidRPr="00CF58D3">
              <w:rPr>
                <w:rFonts w:ascii="Times New Roman" w:hAnsi="Times New Roman" w:cs="Times New Roman"/>
              </w:rPr>
              <w:t>Provisions made during the period</w:t>
            </w:r>
          </w:p>
        </w:tc>
        <w:tc>
          <w:tcPr>
            <w:tcW w:w="2857" w:type="dxa"/>
          </w:tcPr>
          <w:p w:rsidR="004C66BE" w:rsidRPr="00CF58D3" w:rsidRDefault="00B852DA" w:rsidP="00B62FB6">
            <w:pPr>
              <w:spacing w:after="0" w:line="240" w:lineRule="auto"/>
              <w:jc w:val="right"/>
              <w:rPr>
                <w:rFonts w:ascii="Times New Roman" w:hAnsi="Times New Roman" w:cs="Times New Roman"/>
                <w:sz w:val="24"/>
                <w:szCs w:val="24"/>
                <w:lang w:bidi="hi-IN"/>
              </w:rPr>
            </w:pPr>
            <w:r>
              <w:rPr>
                <w:rFonts w:ascii="Times New Roman" w:hAnsi="Times New Roman" w:cs="Times New Roman"/>
                <w:sz w:val="24"/>
                <w:szCs w:val="24"/>
                <w:lang w:bidi="hi-IN"/>
              </w:rPr>
              <w:t>0.00</w:t>
            </w:r>
          </w:p>
        </w:tc>
      </w:tr>
      <w:tr w:rsidR="004C66BE" w:rsidRPr="00CF58D3" w:rsidTr="00685CC1">
        <w:tc>
          <w:tcPr>
            <w:tcW w:w="6678" w:type="dxa"/>
          </w:tcPr>
          <w:p w:rsidR="004C66BE" w:rsidRPr="00CF58D3" w:rsidRDefault="004C66BE" w:rsidP="004C66BE">
            <w:pPr>
              <w:spacing w:after="0"/>
              <w:rPr>
                <w:rFonts w:ascii="Times New Roman" w:hAnsi="Times New Roman" w:cs="Times New Roman"/>
              </w:rPr>
            </w:pPr>
            <w:r w:rsidRPr="00CF58D3">
              <w:rPr>
                <w:rFonts w:ascii="Times New Roman" w:hAnsi="Times New Roman" w:cs="Times New Roman"/>
              </w:rPr>
              <w:t>Write-off</w:t>
            </w:r>
          </w:p>
        </w:tc>
        <w:tc>
          <w:tcPr>
            <w:tcW w:w="2857" w:type="dxa"/>
          </w:tcPr>
          <w:p w:rsidR="004C66BE" w:rsidRPr="00CF58D3" w:rsidRDefault="004C66BE" w:rsidP="004C66BE">
            <w:pPr>
              <w:spacing w:after="0"/>
              <w:jc w:val="right"/>
              <w:rPr>
                <w:rFonts w:ascii="Times New Roman" w:hAnsi="Times New Roman" w:cs="Times New Roman"/>
              </w:rPr>
            </w:pPr>
            <w:r w:rsidRPr="00CF58D3">
              <w:rPr>
                <w:rFonts w:ascii="Times New Roman" w:hAnsi="Times New Roman" w:cs="Times New Roman"/>
              </w:rPr>
              <w:t>0.00</w:t>
            </w:r>
          </w:p>
        </w:tc>
      </w:tr>
      <w:tr w:rsidR="004C66BE" w:rsidRPr="00CF58D3" w:rsidTr="00685CC1">
        <w:tc>
          <w:tcPr>
            <w:tcW w:w="6678" w:type="dxa"/>
          </w:tcPr>
          <w:p w:rsidR="004C66BE" w:rsidRPr="00CF58D3" w:rsidRDefault="004C66BE" w:rsidP="004C66BE">
            <w:pPr>
              <w:spacing w:after="0"/>
              <w:rPr>
                <w:rFonts w:ascii="Times New Roman" w:hAnsi="Times New Roman" w:cs="Times New Roman"/>
              </w:rPr>
            </w:pPr>
            <w:r w:rsidRPr="00CF58D3">
              <w:rPr>
                <w:rFonts w:ascii="Times New Roman" w:hAnsi="Times New Roman" w:cs="Times New Roman"/>
              </w:rPr>
              <w:t>Write-back of excess provisions</w:t>
            </w:r>
          </w:p>
        </w:tc>
        <w:tc>
          <w:tcPr>
            <w:tcW w:w="2857" w:type="dxa"/>
          </w:tcPr>
          <w:p w:rsidR="004C66BE" w:rsidRPr="00CF58D3" w:rsidRDefault="00581DBD" w:rsidP="00B62FB6">
            <w:pPr>
              <w:spacing w:after="0" w:line="240" w:lineRule="auto"/>
              <w:jc w:val="right"/>
              <w:rPr>
                <w:rFonts w:ascii="Times New Roman" w:hAnsi="Times New Roman" w:cs="Times New Roman"/>
                <w:sz w:val="24"/>
                <w:szCs w:val="24"/>
                <w:lang w:bidi="hi-IN"/>
              </w:rPr>
            </w:pPr>
            <w:r w:rsidRPr="008A52C2">
              <w:rPr>
                <w:rFonts w:ascii="Times New Roman" w:hAnsi="Times New Roman" w:cs="Times New Roman"/>
              </w:rPr>
              <w:t>-</w:t>
            </w:r>
            <w:r w:rsidR="00B852DA">
              <w:rPr>
                <w:rFonts w:ascii="Times New Roman" w:hAnsi="Times New Roman" w:cs="Times New Roman"/>
              </w:rPr>
              <w:t>15</w:t>
            </w:r>
          </w:p>
        </w:tc>
      </w:tr>
      <w:tr w:rsidR="004C66BE" w:rsidRPr="00CF58D3" w:rsidTr="00685CC1">
        <w:tc>
          <w:tcPr>
            <w:tcW w:w="6678" w:type="dxa"/>
          </w:tcPr>
          <w:p w:rsidR="004C66BE" w:rsidRPr="00CF58D3" w:rsidRDefault="004C66BE" w:rsidP="004C66BE">
            <w:pPr>
              <w:spacing w:after="0"/>
              <w:rPr>
                <w:rFonts w:ascii="Times New Roman" w:hAnsi="Times New Roman" w:cs="Times New Roman"/>
              </w:rPr>
            </w:pPr>
            <w:r w:rsidRPr="00CF58D3">
              <w:rPr>
                <w:rFonts w:ascii="Times New Roman" w:hAnsi="Times New Roman" w:cs="Times New Roman"/>
              </w:rPr>
              <w:t>Closing Balance</w:t>
            </w:r>
          </w:p>
        </w:tc>
        <w:tc>
          <w:tcPr>
            <w:tcW w:w="2857" w:type="dxa"/>
          </w:tcPr>
          <w:p w:rsidR="004C66BE" w:rsidRPr="00CF58D3" w:rsidRDefault="00B852DA" w:rsidP="00B62FB6">
            <w:pPr>
              <w:spacing w:after="0" w:line="240" w:lineRule="auto"/>
              <w:jc w:val="right"/>
              <w:rPr>
                <w:rFonts w:ascii="Times New Roman" w:hAnsi="Times New Roman" w:cs="Times New Roman"/>
                <w:sz w:val="24"/>
                <w:szCs w:val="24"/>
                <w:lang w:bidi="hi-IN"/>
              </w:rPr>
            </w:pPr>
            <w:r>
              <w:rPr>
                <w:rFonts w:ascii="Times New Roman" w:hAnsi="Times New Roman" w:cs="Times New Roman"/>
              </w:rPr>
              <w:t>1102</w:t>
            </w:r>
          </w:p>
        </w:tc>
      </w:tr>
    </w:tbl>
    <w:p w:rsidR="00563F0A" w:rsidRPr="00CF58D3" w:rsidRDefault="00563F0A" w:rsidP="007344A8">
      <w:pPr>
        <w:autoSpaceDE w:val="0"/>
        <w:autoSpaceDN w:val="0"/>
        <w:adjustRightInd w:val="0"/>
        <w:spacing w:after="0" w:line="240" w:lineRule="auto"/>
        <w:jc w:val="both"/>
        <w:rPr>
          <w:rFonts w:ascii="Times New Roman" w:hAnsi="Times New Roman" w:cs="Times New Roman"/>
          <w:b/>
          <w:bCs/>
        </w:rPr>
      </w:pPr>
    </w:p>
    <w:p w:rsidR="00251781" w:rsidRPr="00CF58D3" w:rsidRDefault="00251781" w:rsidP="007344A8">
      <w:pPr>
        <w:autoSpaceDE w:val="0"/>
        <w:autoSpaceDN w:val="0"/>
        <w:adjustRightInd w:val="0"/>
        <w:spacing w:after="0" w:line="240" w:lineRule="auto"/>
        <w:jc w:val="both"/>
        <w:rPr>
          <w:rFonts w:ascii="Times New Roman" w:hAnsi="Times New Roman" w:cs="Times New Roman"/>
          <w:b/>
          <w:bCs/>
          <w:u w:val="single"/>
        </w:rPr>
      </w:pPr>
      <w:r w:rsidRPr="00CF58D3">
        <w:rPr>
          <w:rFonts w:ascii="Times New Roman" w:hAnsi="Times New Roman" w:cs="Times New Roman"/>
          <w:b/>
          <w:bCs/>
          <w:u w:val="single"/>
        </w:rPr>
        <w:t>Major Industry Breakup of NPA</w:t>
      </w:r>
    </w:p>
    <w:p w:rsidR="00A8095A" w:rsidRPr="00CF58D3" w:rsidRDefault="00A8095A" w:rsidP="00A8095A">
      <w:pPr>
        <w:autoSpaceDE w:val="0"/>
        <w:autoSpaceDN w:val="0"/>
        <w:adjustRightInd w:val="0"/>
        <w:spacing w:after="0" w:line="240" w:lineRule="auto"/>
        <w:jc w:val="right"/>
        <w:rPr>
          <w:rFonts w:ascii="Times New Roman" w:hAnsi="Times New Roman" w:cs="Times New Roman"/>
          <w:b/>
          <w:u w:val="single"/>
        </w:rPr>
      </w:pPr>
      <w:r w:rsidRPr="00CF58D3">
        <w:rPr>
          <w:rFonts w:ascii="Times New Roman" w:hAnsi="Times New Roman" w:cs="Times New Roman"/>
          <w:b/>
          <w:bCs/>
        </w:rPr>
        <w:t>Amt. in Lakhs</w:t>
      </w:r>
    </w:p>
    <w:tbl>
      <w:tblPr>
        <w:tblStyle w:val="TableGrid"/>
        <w:tblW w:w="9535" w:type="dxa"/>
        <w:tblLook w:val="04A0" w:firstRow="1" w:lastRow="0" w:firstColumn="1" w:lastColumn="0" w:noHBand="0" w:noVBand="1"/>
      </w:tblPr>
      <w:tblGrid>
        <w:gridCol w:w="3116"/>
        <w:gridCol w:w="3119"/>
        <w:gridCol w:w="3300"/>
      </w:tblGrid>
      <w:tr w:rsidR="00B86A34" w:rsidRPr="00CF58D3" w:rsidTr="00A516F3">
        <w:trPr>
          <w:trHeight w:val="305"/>
        </w:trPr>
        <w:tc>
          <w:tcPr>
            <w:tcW w:w="3116" w:type="dxa"/>
          </w:tcPr>
          <w:p w:rsidR="00251781" w:rsidRPr="00CF58D3" w:rsidRDefault="00251781" w:rsidP="007344A8">
            <w:pPr>
              <w:autoSpaceDE w:val="0"/>
              <w:autoSpaceDN w:val="0"/>
              <w:adjustRightInd w:val="0"/>
              <w:spacing w:after="0" w:line="240" w:lineRule="auto"/>
              <w:jc w:val="both"/>
              <w:rPr>
                <w:rFonts w:ascii="Times New Roman" w:hAnsi="Times New Roman" w:cs="Times New Roman"/>
                <w:b/>
                <w:bCs/>
              </w:rPr>
            </w:pPr>
            <w:r w:rsidRPr="00CF58D3">
              <w:rPr>
                <w:rFonts w:ascii="Times New Roman" w:hAnsi="Times New Roman" w:cs="Times New Roman"/>
                <w:b/>
                <w:bCs/>
              </w:rPr>
              <w:t>Industry</w:t>
            </w:r>
          </w:p>
        </w:tc>
        <w:tc>
          <w:tcPr>
            <w:tcW w:w="3119" w:type="dxa"/>
          </w:tcPr>
          <w:p w:rsidR="00251781" w:rsidRPr="00CF58D3" w:rsidRDefault="00251781" w:rsidP="00A8095A">
            <w:pPr>
              <w:autoSpaceDE w:val="0"/>
              <w:autoSpaceDN w:val="0"/>
              <w:adjustRightInd w:val="0"/>
              <w:spacing w:after="0" w:line="240" w:lineRule="auto"/>
              <w:jc w:val="center"/>
              <w:rPr>
                <w:rFonts w:ascii="Times New Roman" w:hAnsi="Times New Roman" w:cs="Times New Roman"/>
                <w:b/>
                <w:bCs/>
              </w:rPr>
            </w:pPr>
            <w:r w:rsidRPr="00CF58D3">
              <w:rPr>
                <w:rFonts w:ascii="Times New Roman" w:hAnsi="Times New Roman" w:cs="Times New Roman"/>
                <w:b/>
                <w:bCs/>
              </w:rPr>
              <w:t>Gross NPA</w:t>
            </w:r>
          </w:p>
        </w:tc>
        <w:tc>
          <w:tcPr>
            <w:tcW w:w="3300" w:type="dxa"/>
          </w:tcPr>
          <w:p w:rsidR="00251781" w:rsidRPr="00CF58D3" w:rsidRDefault="00251781" w:rsidP="00A8095A">
            <w:pPr>
              <w:autoSpaceDE w:val="0"/>
              <w:autoSpaceDN w:val="0"/>
              <w:adjustRightInd w:val="0"/>
              <w:spacing w:after="0" w:line="240" w:lineRule="auto"/>
              <w:jc w:val="center"/>
              <w:rPr>
                <w:rFonts w:ascii="Times New Roman" w:hAnsi="Times New Roman" w:cs="Times New Roman"/>
                <w:b/>
                <w:bCs/>
              </w:rPr>
            </w:pPr>
            <w:r w:rsidRPr="00CF58D3">
              <w:rPr>
                <w:rFonts w:ascii="Times New Roman" w:hAnsi="Times New Roman" w:cs="Times New Roman"/>
                <w:b/>
                <w:bCs/>
              </w:rPr>
              <w:t>Provision for NPA</w:t>
            </w:r>
          </w:p>
        </w:tc>
      </w:tr>
      <w:tr w:rsidR="004C66BE" w:rsidRPr="00CF58D3" w:rsidTr="00EA1D3A">
        <w:trPr>
          <w:trHeight w:val="305"/>
        </w:trPr>
        <w:tc>
          <w:tcPr>
            <w:tcW w:w="3116" w:type="dxa"/>
          </w:tcPr>
          <w:p w:rsidR="004C66BE" w:rsidRPr="00CF58D3" w:rsidRDefault="004C66BE" w:rsidP="004C66BE">
            <w:pPr>
              <w:autoSpaceDE w:val="0"/>
              <w:autoSpaceDN w:val="0"/>
              <w:adjustRightInd w:val="0"/>
              <w:spacing w:after="0" w:line="240" w:lineRule="auto"/>
              <w:jc w:val="both"/>
              <w:rPr>
                <w:rFonts w:ascii="Times New Roman" w:hAnsi="Times New Roman" w:cs="Times New Roman"/>
                <w:b/>
                <w:bCs/>
              </w:rPr>
            </w:pPr>
            <w:r w:rsidRPr="00CF58D3">
              <w:rPr>
                <w:rFonts w:ascii="Times New Roman" w:hAnsi="Times New Roman" w:cs="Times New Roman"/>
                <w:b/>
                <w:bCs/>
              </w:rPr>
              <w:t>NPA in Top 5 Industries</w:t>
            </w:r>
          </w:p>
        </w:tc>
        <w:tc>
          <w:tcPr>
            <w:tcW w:w="3119" w:type="dxa"/>
            <w:vAlign w:val="bottom"/>
          </w:tcPr>
          <w:p w:rsidR="004C66BE" w:rsidRPr="00CF58D3" w:rsidRDefault="00462A3D" w:rsidP="00575BA4">
            <w:pPr>
              <w:spacing w:after="0" w:line="240" w:lineRule="auto"/>
              <w:jc w:val="center"/>
              <w:rPr>
                <w:color w:val="000000"/>
                <w:lang w:bidi="hi-IN"/>
              </w:rPr>
            </w:pPr>
            <w:r>
              <w:rPr>
                <w:rFonts w:ascii="Times New Roman" w:hAnsi="Times New Roman" w:cs="Times New Roman"/>
                <w:sz w:val="24"/>
                <w:szCs w:val="24"/>
              </w:rPr>
              <w:t>302500</w:t>
            </w:r>
          </w:p>
        </w:tc>
        <w:tc>
          <w:tcPr>
            <w:tcW w:w="3300" w:type="dxa"/>
            <w:vAlign w:val="bottom"/>
          </w:tcPr>
          <w:p w:rsidR="004C66BE" w:rsidRPr="00CF58D3" w:rsidRDefault="00462A3D" w:rsidP="004C66BE">
            <w:pPr>
              <w:spacing w:after="0" w:line="240" w:lineRule="auto"/>
              <w:jc w:val="center"/>
              <w:rPr>
                <w:rFonts w:ascii="Times New Roman" w:hAnsi="Times New Roman" w:cs="Times New Roman"/>
                <w:sz w:val="24"/>
                <w:szCs w:val="24"/>
                <w:lang w:bidi="hi-IN"/>
              </w:rPr>
            </w:pPr>
            <w:r>
              <w:rPr>
                <w:rFonts w:ascii="Times New Roman" w:hAnsi="Times New Roman" w:cs="Times New Roman"/>
                <w:sz w:val="24"/>
                <w:szCs w:val="24"/>
              </w:rPr>
              <w:t>169518</w:t>
            </w:r>
          </w:p>
        </w:tc>
      </w:tr>
    </w:tbl>
    <w:p w:rsidR="003A7DFD" w:rsidRPr="00CF58D3" w:rsidRDefault="003A7DFD" w:rsidP="007344A8">
      <w:pPr>
        <w:autoSpaceDE w:val="0"/>
        <w:autoSpaceDN w:val="0"/>
        <w:adjustRightInd w:val="0"/>
        <w:spacing w:after="0" w:line="240" w:lineRule="auto"/>
        <w:jc w:val="both"/>
        <w:rPr>
          <w:rFonts w:ascii="Times New Roman" w:hAnsi="Times New Roman" w:cs="Times New Roman"/>
          <w:b/>
          <w:bCs/>
        </w:rPr>
      </w:pPr>
    </w:p>
    <w:p w:rsidR="00D253B4" w:rsidRPr="00CF58D3" w:rsidRDefault="00251781" w:rsidP="00191B4A">
      <w:pPr>
        <w:widowControl w:val="0"/>
        <w:autoSpaceDE w:val="0"/>
        <w:autoSpaceDN w:val="0"/>
        <w:adjustRightInd w:val="0"/>
        <w:spacing w:after="0"/>
        <w:jc w:val="both"/>
        <w:rPr>
          <w:rFonts w:ascii="Times New Roman" w:hAnsi="Times New Roman" w:cs="Times New Roman"/>
          <w:b/>
          <w:u w:val="single"/>
        </w:rPr>
      </w:pPr>
      <w:r w:rsidRPr="00CF58D3">
        <w:rPr>
          <w:rFonts w:ascii="Times New Roman" w:hAnsi="Times New Roman" w:cs="Times New Roman"/>
          <w:b/>
          <w:u w:val="single"/>
        </w:rPr>
        <w:t>Geography wise Distribution of NPA &amp; Provision</w:t>
      </w:r>
    </w:p>
    <w:p w:rsidR="00A8095A" w:rsidRPr="00CF58D3" w:rsidRDefault="00A8095A" w:rsidP="00A8095A">
      <w:pPr>
        <w:autoSpaceDE w:val="0"/>
        <w:autoSpaceDN w:val="0"/>
        <w:adjustRightInd w:val="0"/>
        <w:spacing w:after="0" w:line="240" w:lineRule="auto"/>
        <w:jc w:val="right"/>
        <w:rPr>
          <w:rFonts w:ascii="Times New Roman" w:hAnsi="Times New Roman" w:cs="Times New Roman"/>
          <w:b/>
          <w:u w:val="single"/>
        </w:rPr>
      </w:pPr>
      <w:r w:rsidRPr="00CF58D3">
        <w:rPr>
          <w:rFonts w:ascii="Times New Roman" w:hAnsi="Times New Roman" w:cs="Times New Roman"/>
          <w:b/>
          <w:bCs/>
        </w:rPr>
        <w:t>Amt. in Lakhs</w:t>
      </w:r>
    </w:p>
    <w:tbl>
      <w:tblPr>
        <w:tblStyle w:val="TableGrid"/>
        <w:tblW w:w="9535" w:type="dxa"/>
        <w:tblLook w:val="04A0" w:firstRow="1" w:lastRow="0" w:firstColumn="1" w:lastColumn="0" w:noHBand="0" w:noVBand="1"/>
      </w:tblPr>
      <w:tblGrid>
        <w:gridCol w:w="2424"/>
        <w:gridCol w:w="2408"/>
        <w:gridCol w:w="2408"/>
        <w:gridCol w:w="2295"/>
      </w:tblGrid>
      <w:tr w:rsidR="00685CC1" w:rsidRPr="00CF58D3" w:rsidTr="00685CC1">
        <w:tc>
          <w:tcPr>
            <w:tcW w:w="2424" w:type="dxa"/>
          </w:tcPr>
          <w:p w:rsidR="00251781" w:rsidRPr="00CF58D3" w:rsidRDefault="00251781" w:rsidP="00251781">
            <w:pPr>
              <w:autoSpaceDE w:val="0"/>
              <w:autoSpaceDN w:val="0"/>
              <w:adjustRightInd w:val="0"/>
              <w:spacing w:after="0" w:line="240" w:lineRule="auto"/>
              <w:jc w:val="both"/>
              <w:rPr>
                <w:rFonts w:ascii="Times New Roman" w:hAnsi="Times New Roman" w:cs="Times New Roman"/>
                <w:b/>
                <w:bCs/>
                <w:sz w:val="24"/>
                <w:szCs w:val="24"/>
              </w:rPr>
            </w:pPr>
            <w:r w:rsidRPr="00CF58D3">
              <w:rPr>
                <w:rFonts w:ascii="Times New Roman" w:hAnsi="Times New Roman" w:cs="Times New Roman"/>
                <w:b/>
                <w:bCs/>
                <w:sz w:val="24"/>
                <w:szCs w:val="24"/>
              </w:rPr>
              <w:t>Industry</w:t>
            </w:r>
          </w:p>
        </w:tc>
        <w:tc>
          <w:tcPr>
            <w:tcW w:w="2408" w:type="dxa"/>
          </w:tcPr>
          <w:p w:rsidR="00251781" w:rsidRPr="00CF58D3" w:rsidRDefault="00251781" w:rsidP="00A8095A">
            <w:pPr>
              <w:autoSpaceDE w:val="0"/>
              <w:autoSpaceDN w:val="0"/>
              <w:adjustRightInd w:val="0"/>
              <w:spacing w:after="0" w:line="240" w:lineRule="auto"/>
              <w:jc w:val="center"/>
              <w:rPr>
                <w:rFonts w:ascii="Times New Roman" w:hAnsi="Times New Roman" w:cs="Times New Roman"/>
                <w:b/>
                <w:bCs/>
                <w:sz w:val="24"/>
                <w:szCs w:val="24"/>
              </w:rPr>
            </w:pPr>
            <w:r w:rsidRPr="00CF58D3">
              <w:rPr>
                <w:rFonts w:ascii="Times New Roman" w:hAnsi="Times New Roman" w:cs="Times New Roman"/>
                <w:b/>
                <w:bCs/>
                <w:sz w:val="24"/>
                <w:szCs w:val="24"/>
              </w:rPr>
              <w:t>Gross NPA</w:t>
            </w:r>
          </w:p>
        </w:tc>
        <w:tc>
          <w:tcPr>
            <w:tcW w:w="2408" w:type="dxa"/>
          </w:tcPr>
          <w:p w:rsidR="00251781" w:rsidRPr="00CF58D3" w:rsidRDefault="00251781" w:rsidP="00A8095A">
            <w:pPr>
              <w:autoSpaceDE w:val="0"/>
              <w:autoSpaceDN w:val="0"/>
              <w:adjustRightInd w:val="0"/>
              <w:spacing w:after="0" w:line="240" w:lineRule="auto"/>
              <w:jc w:val="center"/>
              <w:rPr>
                <w:rFonts w:ascii="Times New Roman" w:hAnsi="Times New Roman" w:cs="Times New Roman"/>
                <w:b/>
                <w:bCs/>
                <w:sz w:val="24"/>
                <w:szCs w:val="24"/>
              </w:rPr>
            </w:pPr>
            <w:r w:rsidRPr="00CF58D3">
              <w:rPr>
                <w:rFonts w:ascii="Times New Roman" w:hAnsi="Times New Roman" w:cs="Times New Roman"/>
                <w:b/>
                <w:bCs/>
                <w:sz w:val="24"/>
                <w:szCs w:val="24"/>
              </w:rPr>
              <w:t>Provision for NPA</w:t>
            </w:r>
          </w:p>
        </w:tc>
        <w:tc>
          <w:tcPr>
            <w:tcW w:w="2295" w:type="dxa"/>
          </w:tcPr>
          <w:p w:rsidR="00251781" w:rsidRPr="00CF58D3" w:rsidRDefault="00251781" w:rsidP="00A8095A">
            <w:pPr>
              <w:autoSpaceDE w:val="0"/>
              <w:autoSpaceDN w:val="0"/>
              <w:adjustRightInd w:val="0"/>
              <w:spacing w:after="0" w:line="240" w:lineRule="auto"/>
              <w:jc w:val="center"/>
              <w:rPr>
                <w:rFonts w:ascii="Times New Roman" w:hAnsi="Times New Roman" w:cs="Times New Roman"/>
                <w:b/>
                <w:bCs/>
                <w:sz w:val="24"/>
                <w:szCs w:val="24"/>
              </w:rPr>
            </w:pPr>
            <w:r w:rsidRPr="00CF58D3">
              <w:rPr>
                <w:rFonts w:ascii="Times New Roman" w:hAnsi="Times New Roman" w:cs="Times New Roman"/>
                <w:b/>
                <w:bCs/>
                <w:sz w:val="24"/>
                <w:szCs w:val="24"/>
              </w:rPr>
              <w:t>Provision for Standard Advances</w:t>
            </w:r>
          </w:p>
        </w:tc>
      </w:tr>
      <w:tr w:rsidR="004C66BE" w:rsidRPr="00CF58D3" w:rsidTr="00685CC1">
        <w:tc>
          <w:tcPr>
            <w:tcW w:w="2424" w:type="dxa"/>
          </w:tcPr>
          <w:p w:rsidR="004C66BE" w:rsidRPr="00CF58D3" w:rsidRDefault="004C66BE" w:rsidP="004C66BE">
            <w:pPr>
              <w:autoSpaceDE w:val="0"/>
              <w:autoSpaceDN w:val="0"/>
              <w:adjustRightInd w:val="0"/>
              <w:spacing w:after="0" w:line="240" w:lineRule="auto"/>
              <w:jc w:val="both"/>
              <w:rPr>
                <w:rFonts w:ascii="Times New Roman" w:hAnsi="Times New Roman" w:cs="Times New Roman"/>
                <w:b/>
                <w:bCs/>
                <w:sz w:val="24"/>
                <w:szCs w:val="24"/>
              </w:rPr>
            </w:pPr>
            <w:r w:rsidRPr="00CF58D3">
              <w:rPr>
                <w:rFonts w:ascii="Times New Roman" w:hAnsi="Times New Roman" w:cs="Times New Roman"/>
                <w:b/>
                <w:bCs/>
                <w:sz w:val="24"/>
                <w:szCs w:val="24"/>
              </w:rPr>
              <w:t>Domestic</w:t>
            </w:r>
          </w:p>
        </w:tc>
        <w:tc>
          <w:tcPr>
            <w:tcW w:w="2408" w:type="dxa"/>
            <w:vAlign w:val="bottom"/>
          </w:tcPr>
          <w:p w:rsidR="004C66BE" w:rsidRPr="00092783" w:rsidRDefault="00092783" w:rsidP="00DF5289">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884806</w:t>
            </w:r>
          </w:p>
        </w:tc>
        <w:tc>
          <w:tcPr>
            <w:tcW w:w="2408" w:type="dxa"/>
            <w:vAlign w:val="bottom"/>
          </w:tcPr>
          <w:p w:rsidR="004C66BE" w:rsidRPr="00092783" w:rsidRDefault="00092783" w:rsidP="004C66BE">
            <w:pPr>
              <w:spacing w:after="0" w:line="240" w:lineRule="auto"/>
              <w:jc w:val="center"/>
              <w:rPr>
                <w:rFonts w:ascii="Times New Roman" w:hAnsi="Times New Roman" w:cs="Times New Roman"/>
                <w:sz w:val="24"/>
                <w:szCs w:val="24"/>
                <w:highlight w:val="yellow"/>
              </w:rPr>
            </w:pPr>
            <w:r w:rsidRPr="00092783">
              <w:rPr>
                <w:rFonts w:ascii="Times New Roman" w:hAnsi="Times New Roman" w:cs="Times New Roman"/>
                <w:sz w:val="24"/>
                <w:szCs w:val="24"/>
              </w:rPr>
              <w:t>446960</w:t>
            </w:r>
          </w:p>
        </w:tc>
        <w:tc>
          <w:tcPr>
            <w:tcW w:w="2295" w:type="dxa"/>
          </w:tcPr>
          <w:p w:rsidR="004C66BE" w:rsidRPr="00092783" w:rsidRDefault="00B913F3" w:rsidP="004C66BE">
            <w:pPr>
              <w:spacing w:after="0" w:line="240" w:lineRule="auto"/>
              <w:jc w:val="center"/>
              <w:rPr>
                <w:rFonts w:ascii="Times New Roman" w:hAnsi="Times New Roman" w:cs="Times New Roman"/>
                <w:sz w:val="24"/>
                <w:szCs w:val="24"/>
                <w:highlight w:val="yellow"/>
              </w:rPr>
            </w:pPr>
            <w:r w:rsidRPr="00B913F3">
              <w:rPr>
                <w:rFonts w:ascii="Times New Roman" w:hAnsi="Times New Roman" w:cs="Times New Roman"/>
                <w:sz w:val="24"/>
                <w:szCs w:val="24"/>
              </w:rPr>
              <w:t>35807</w:t>
            </w:r>
          </w:p>
        </w:tc>
      </w:tr>
      <w:tr w:rsidR="004C66BE" w:rsidRPr="00CF58D3" w:rsidTr="00685CC1">
        <w:tc>
          <w:tcPr>
            <w:tcW w:w="2424" w:type="dxa"/>
          </w:tcPr>
          <w:p w:rsidR="004C66BE" w:rsidRPr="00CF58D3" w:rsidRDefault="004C66BE" w:rsidP="004C66BE">
            <w:pPr>
              <w:autoSpaceDE w:val="0"/>
              <w:autoSpaceDN w:val="0"/>
              <w:adjustRightInd w:val="0"/>
              <w:spacing w:after="0" w:line="240" w:lineRule="auto"/>
              <w:jc w:val="both"/>
              <w:rPr>
                <w:rFonts w:ascii="Times New Roman" w:hAnsi="Times New Roman" w:cs="Times New Roman"/>
                <w:b/>
                <w:bCs/>
                <w:sz w:val="24"/>
                <w:szCs w:val="24"/>
              </w:rPr>
            </w:pPr>
            <w:r w:rsidRPr="00CF58D3">
              <w:rPr>
                <w:rFonts w:ascii="Times New Roman" w:hAnsi="Times New Roman" w:cs="Times New Roman"/>
                <w:b/>
                <w:bCs/>
                <w:sz w:val="24"/>
                <w:szCs w:val="24"/>
              </w:rPr>
              <w:t>Overseas</w:t>
            </w:r>
          </w:p>
        </w:tc>
        <w:tc>
          <w:tcPr>
            <w:tcW w:w="2408" w:type="dxa"/>
            <w:vAlign w:val="bottom"/>
          </w:tcPr>
          <w:p w:rsidR="004C66BE" w:rsidRPr="00CF58D3" w:rsidRDefault="004C66BE" w:rsidP="004C66BE">
            <w:pPr>
              <w:spacing w:after="0" w:line="240" w:lineRule="auto"/>
              <w:jc w:val="center"/>
              <w:rPr>
                <w:rFonts w:ascii="Times New Roman" w:hAnsi="Times New Roman" w:cs="Times New Roman"/>
                <w:sz w:val="24"/>
                <w:szCs w:val="24"/>
              </w:rPr>
            </w:pPr>
            <w:r w:rsidRPr="00CF58D3">
              <w:rPr>
                <w:rFonts w:ascii="Times New Roman" w:hAnsi="Times New Roman" w:cs="Times New Roman"/>
                <w:sz w:val="24"/>
                <w:szCs w:val="24"/>
              </w:rPr>
              <w:t>0.00</w:t>
            </w:r>
          </w:p>
        </w:tc>
        <w:tc>
          <w:tcPr>
            <w:tcW w:w="2408" w:type="dxa"/>
            <w:vAlign w:val="bottom"/>
          </w:tcPr>
          <w:p w:rsidR="004C66BE" w:rsidRPr="00CF58D3" w:rsidRDefault="004C66BE" w:rsidP="004C66BE">
            <w:pPr>
              <w:spacing w:after="0" w:line="240" w:lineRule="auto"/>
              <w:jc w:val="center"/>
              <w:rPr>
                <w:rFonts w:ascii="Times New Roman" w:hAnsi="Times New Roman" w:cs="Times New Roman"/>
                <w:sz w:val="24"/>
                <w:szCs w:val="24"/>
              </w:rPr>
            </w:pPr>
            <w:r w:rsidRPr="00CF58D3">
              <w:rPr>
                <w:rFonts w:ascii="Times New Roman" w:hAnsi="Times New Roman" w:cs="Times New Roman"/>
                <w:sz w:val="24"/>
                <w:szCs w:val="24"/>
              </w:rPr>
              <w:t>0.00</w:t>
            </w:r>
          </w:p>
        </w:tc>
        <w:tc>
          <w:tcPr>
            <w:tcW w:w="2295" w:type="dxa"/>
          </w:tcPr>
          <w:p w:rsidR="004C66BE" w:rsidRPr="00CF58D3" w:rsidRDefault="004C66BE" w:rsidP="004C66BE">
            <w:pPr>
              <w:spacing w:after="0" w:line="240" w:lineRule="auto"/>
              <w:jc w:val="center"/>
              <w:rPr>
                <w:rFonts w:ascii="Times New Roman" w:hAnsi="Times New Roman" w:cs="Times New Roman"/>
                <w:sz w:val="24"/>
                <w:szCs w:val="24"/>
              </w:rPr>
            </w:pPr>
            <w:r w:rsidRPr="00CF58D3">
              <w:rPr>
                <w:rFonts w:ascii="Times New Roman" w:hAnsi="Times New Roman" w:cs="Times New Roman"/>
                <w:sz w:val="24"/>
                <w:szCs w:val="24"/>
              </w:rPr>
              <w:t>0.00</w:t>
            </w:r>
          </w:p>
        </w:tc>
      </w:tr>
    </w:tbl>
    <w:p w:rsidR="00722A32" w:rsidRDefault="00722A32" w:rsidP="00E84758">
      <w:pPr>
        <w:autoSpaceDE w:val="0"/>
        <w:autoSpaceDN w:val="0"/>
        <w:adjustRightInd w:val="0"/>
        <w:spacing w:after="0" w:line="240" w:lineRule="auto"/>
        <w:jc w:val="both"/>
        <w:rPr>
          <w:rFonts w:ascii="Times New Roman" w:hAnsi="Times New Roman" w:cs="Times New Roman"/>
          <w:b/>
          <w:bCs/>
        </w:rPr>
      </w:pPr>
    </w:p>
    <w:p w:rsidR="00191B4A" w:rsidRPr="00CF58D3" w:rsidRDefault="00C61DF6" w:rsidP="00E84758">
      <w:pPr>
        <w:autoSpaceDE w:val="0"/>
        <w:autoSpaceDN w:val="0"/>
        <w:adjustRightInd w:val="0"/>
        <w:spacing w:after="0" w:line="240" w:lineRule="auto"/>
        <w:jc w:val="both"/>
        <w:rPr>
          <w:rFonts w:ascii="Times New Roman" w:hAnsi="Times New Roman" w:cs="Times New Roman"/>
          <w:b/>
          <w:bCs/>
          <w:sz w:val="24"/>
          <w:szCs w:val="24"/>
        </w:rPr>
      </w:pPr>
      <w:r w:rsidRPr="00CF58D3">
        <w:rPr>
          <w:rFonts w:ascii="Times New Roman" w:hAnsi="Times New Roman" w:cs="Times New Roman"/>
          <w:b/>
          <w:bCs/>
          <w:sz w:val="24"/>
          <w:szCs w:val="24"/>
        </w:rPr>
        <w:t>Table DF 4</w:t>
      </w:r>
      <w:r w:rsidR="00191B4A" w:rsidRPr="00CF58D3">
        <w:rPr>
          <w:rFonts w:ascii="Times New Roman" w:hAnsi="Times New Roman" w:cs="Times New Roman"/>
          <w:b/>
          <w:bCs/>
          <w:sz w:val="24"/>
          <w:szCs w:val="24"/>
        </w:rPr>
        <w:t xml:space="preserve"> - CREDIT RISK: DISCLOSURES FOR PORTFOLIOS SUBJECT TO THE STANDARDISED APPROACH</w:t>
      </w:r>
    </w:p>
    <w:p w:rsidR="00191B4A" w:rsidRPr="00CF58D3" w:rsidRDefault="00191B4A" w:rsidP="00191B4A">
      <w:pPr>
        <w:autoSpaceDE w:val="0"/>
        <w:autoSpaceDN w:val="0"/>
        <w:adjustRightInd w:val="0"/>
        <w:spacing w:after="0" w:line="240" w:lineRule="auto"/>
        <w:rPr>
          <w:rFonts w:ascii="Times New Roman" w:hAnsi="Times New Roman" w:cs="Times New Roman"/>
          <w:b/>
          <w:bCs/>
        </w:rPr>
      </w:pPr>
    </w:p>
    <w:p w:rsidR="00191B4A" w:rsidRPr="00CF58D3" w:rsidRDefault="00191B4A" w:rsidP="00191B4A">
      <w:pPr>
        <w:autoSpaceDE w:val="0"/>
        <w:autoSpaceDN w:val="0"/>
        <w:adjustRightInd w:val="0"/>
        <w:spacing w:after="0" w:line="240" w:lineRule="auto"/>
        <w:rPr>
          <w:rFonts w:ascii="Times New Roman" w:hAnsi="Times New Roman" w:cs="Times New Roman"/>
          <w:b/>
          <w:bCs/>
          <w:u w:val="single"/>
        </w:rPr>
      </w:pPr>
      <w:r w:rsidRPr="00CF58D3">
        <w:rPr>
          <w:rFonts w:ascii="Times New Roman" w:hAnsi="Times New Roman" w:cs="Times New Roman"/>
          <w:b/>
          <w:bCs/>
          <w:u w:val="single"/>
        </w:rPr>
        <w:t>Qualitative Disclosures</w:t>
      </w:r>
    </w:p>
    <w:p w:rsidR="00722A32" w:rsidRPr="00CF58D3" w:rsidRDefault="00722A32" w:rsidP="00722A32">
      <w:pPr>
        <w:autoSpaceDE w:val="0"/>
        <w:autoSpaceDN w:val="0"/>
        <w:adjustRightInd w:val="0"/>
        <w:spacing w:after="0" w:line="240" w:lineRule="auto"/>
        <w:rPr>
          <w:rFonts w:ascii="Times New Roman" w:hAnsi="Times New Roman" w:cs="Times New Roman"/>
          <w:b/>
          <w:bCs/>
        </w:rPr>
      </w:pPr>
    </w:p>
    <w:p w:rsidR="00722A32" w:rsidRPr="00CF58D3" w:rsidRDefault="00722A32" w:rsidP="00722A32">
      <w:pPr>
        <w:autoSpaceDE w:val="0"/>
        <w:autoSpaceDN w:val="0"/>
        <w:adjustRightInd w:val="0"/>
        <w:jc w:val="both"/>
        <w:rPr>
          <w:rFonts w:ascii="Times New Roman" w:hAnsi="Times New Roman" w:cs="Times New Roman"/>
          <w:bCs/>
        </w:rPr>
      </w:pPr>
      <w:r w:rsidRPr="00CF58D3">
        <w:rPr>
          <w:rFonts w:ascii="Times New Roman" w:hAnsi="Times New Roman" w:cs="Times New Roman"/>
        </w:rPr>
        <w:t xml:space="preserve">1. The Bank has approved using the general rating of the following credit rating agencies for risk weighting under the standardized approach for CRAR calculations </w:t>
      </w:r>
      <w:r w:rsidRPr="00CF58D3">
        <w:rPr>
          <w:rFonts w:ascii="Times New Roman" w:hAnsi="Times New Roman" w:cs="Times New Roman"/>
          <w:bCs/>
        </w:rPr>
        <w:t xml:space="preserve">CRISIL, ICRA, India Rating, </w:t>
      </w:r>
      <w:r w:rsidR="003C0485">
        <w:rPr>
          <w:rFonts w:ascii="Times New Roman" w:hAnsi="Times New Roman" w:cs="Times New Roman"/>
          <w:bCs/>
        </w:rPr>
        <w:t>ACUITE</w:t>
      </w:r>
      <w:r w:rsidRPr="00CF58D3">
        <w:rPr>
          <w:rFonts w:ascii="Times New Roman" w:hAnsi="Times New Roman" w:cs="Times New Roman"/>
          <w:bCs/>
        </w:rPr>
        <w:t>, BRICKWORK</w:t>
      </w:r>
      <w:r w:rsidR="00D50838">
        <w:rPr>
          <w:rFonts w:ascii="Times New Roman" w:hAnsi="Times New Roman" w:cs="Times New Roman"/>
          <w:bCs/>
        </w:rPr>
        <w:t xml:space="preserve">, </w:t>
      </w:r>
      <w:proofErr w:type="spellStart"/>
      <w:r w:rsidR="00D50838">
        <w:rPr>
          <w:rFonts w:ascii="Times New Roman" w:hAnsi="Times New Roman" w:cs="Times New Roman"/>
          <w:bCs/>
        </w:rPr>
        <w:t>Infomerics</w:t>
      </w:r>
      <w:proofErr w:type="spellEnd"/>
      <w:r w:rsidRPr="00CF58D3">
        <w:rPr>
          <w:rFonts w:ascii="Times New Roman" w:hAnsi="Times New Roman" w:cs="Times New Roman"/>
          <w:bCs/>
        </w:rPr>
        <w:t xml:space="preserve"> and CARE for domestic claims and S&amp;P, FITCH and Moody’s for claims on non-resident corporates, foreign banks and foreign sovereigns. </w:t>
      </w:r>
    </w:p>
    <w:p w:rsidR="00722A32" w:rsidRPr="00CF58D3" w:rsidRDefault="00722A32" w:rsidP="00722A32">
      <w:pPr>
        <w:autoSpaceDE w:val="0"/>
        <w:autoSpaceDN w:val="0"/>
        <w:adjustRightInd w:val="0"/>
        <w:jc w:val="both"/>
        <w:rPr>
          <w:rFonts w:ascii="Times New Roman" w:hAnsi="Times New Roman" w:cs="Times New Roman"/>
        </w:rPr>
      </w:pPr>
      <w:r w:rsidRPr="00CF58D3">
        <w:rPr>
          <w:rFonts w:ascii="Times New Roman" w:hAnsi="Times New Roman" w:cs="Times New Roman"/>
        </w:rPr>
        <w:t xml:space="preserve">The ratings of all these agencies are being used for all exposures subjected to rating for risk weighting purposes under the standardized approach for CRAR calculations under Basel-II </w:t>
      </w:r>
      <w:r w:rsidRPr="00CF58D3">
        <w:rPr>
          <w:rFonts w:ascii="Times New Roman" w:hAnsi="Times New Roman"/>
          <w:szCs w:val="20"/>
          <w:lang w:bidi="hi-IN"/>
        </w:rPr>
        <w:t xml:space="preserve">&amp; Basel III </w:t>
      </w:r>
      <w:r w:rsidRPr="00CF58D3">
        <w:rPr>
          <w:rFonts w:ascii="Times New Roman" w:hAnsi="Times New Roman" w:cs="Times New Roman"/>
        </w:rPr>
        <w:t xml:space="preserve">as defined by RBI. </w:t>
      </w:r>
    </w:p>
    <w:p w:rsidR="00722A32" w:rsidRPr="00CF58D3" w:rsidRDefault="00722A32" w:rsidP="00722A32">
      <w:pPr>
        <w:autoSpaceDE w:val="0"/>
        <w:autoSpaceDN w:val="0"/>
        <w:adjustRightInd w:val="0"/>
        <w:jc w:val="both"/>
        <w:rPr>
          <w:rFonts w:ascii="Times New Roman" w:hAnsi="Times New Roman" w:cs="Times New Roman"/>
        </w:rPr>
      </w:pPr>
      <w:r w:rsidRPr="00CF58D3">
        <w:rPr>
          <w:rFonts w:ascii="Times New Roman" w:hAnsi="Times New Roman" w:cstheme="minorBidi" w:hint="cs"/>
          <w:szCs w:val="20"/>
          <w:cs/>
          <w:lang w:bidi="hi-IN"/>
        </w:rPr>
        <w:t>2</w:t>
      </w:r>
      <w:r w:rsidRPr="00CF58D3">
        <w:rPr>
          <w:rFonts w:ascii="Times New Roman" w:hAnsi="Times New Roman" w:cs="Times New Roman"/>
        </w:rPr>
        <w:t xml:space="preserve">. The process used to transfer public issue ratings on to comparable assets in the banking book is as per regulatory requirements of RBI. The public ratings published by the rating agencies on their website are used for this purpose. Only, ratings which are in force as per monthly bulletin of the concerned rating agency and which have been reviewed at least once during the previous 15 months are used. </w:t>
      </w:r>
    </w:p>
    <w:p w:rsidR="00722A32" w:rsidRPr="00CF58D3" w:rsidRDefault="00722A32" w:rsidP="00722A32">
      <w:pPr>
        <w:autoSpaceDE w:val="0"/>
        <w:autoSpaceDN w:val="0"/>
        <w:adjustRightInd w:val="0"/>
        <w:spacing w:after="0"/>
        <w:jc w:val="both"/>
        <w:rPr>
          <w:rFonts w:ascii="Times New Roman" w:hAnsi="Times New Roman" w:cs="Times New Roman"/>
        </w:rPr>
      </w:pPr>
      <w:r w:rsidRPr="00CF58D3">
        <w:rPr>
          <w:rFonts w:ascii="Times New Roman" w:hAnsi="Times New Roman" w:cstheme="minorBidi" w:hint="cs"/>
          <w:szCs w:val="20"/>
          <w:cs/>
          <w:lang w:bidi="hi-IN"/>
        </w:rPr>
        <w:t>3</w:t>
      </w:r>
      <w:r w:rsidRPr="00CF58D3">
        <w:rPr>
          <w:rFonts w:ascii="Times New Roman" w:hAnsi="Times New Roman" w:cs="Times New Roman"/>
        </w:rPr>
        <w:t xml:space="preserve">. For all the exposures on a particular counterparty, bank uses the rating of only one agency, even though these exposures are rated by more than one with exception being where each of the exposures is rated by only one of the approved rating agencies. </w:t>
      </w:r>
    </w:p>
    <w:p w:rsidR="00722A32" w:rsidRPr="00CF58D3" w:rsidRDefault="00722A32" w:rsidP="00722A32">
      <w:pPr>
        <w:autoSpaceDE w:val="0"/>
        <w:autoSpaceDN w:val="0"/>
        <w:adjustRightInd w:val="0"/>
        <w:spacing w:after="0"/>
        <w:jc w:val="both"/>
        <w:rPr>
          <w:rFonts w:ascii="Times New Roman" w:hAnsi="Times New Roman" w:cs="Times New Roman"/>
        </w:rPr>
      </w:pPr>
    </w:p>
    <w:p w:rsidR="00722A32" w:rsidRPr="00CF58D3" w:rsidRDefault="00722A32" w:rsidP="00722A32">
      <w:pPr>
        <w:autoSpaceDE w:val="0"/>
        <w:autoSpaceDN w:val="0"/>
        <w:adjustRightInd w:val="0"/>
        <w:spacing w:after="0"/>
        <w:jc w:val="both"/>
        <w:rPr>
          <w:rFonts w:ascii="Times New Roman" w:hAnsi="Times New Roman" w:cs="Times New Roman"/>
        </w:rPr>
      </w:pPr>
      <w:r w:rsidRPr="00CF58D3">
        <w:rPr>
          <w:rFonts w:ascii="Times New Roman" w:hAnsi="Times New Roman" w:cstheme="minorBidi" w:hint="cs"/>
          <w:szCs w:val="20"/>
          <w:cs/>
          <w:lang w:bidi="hi-IN"/>
        </w:rPr>
        <w:t>4</w:t>
      </w:r>
      <w:r w:rsidRPr="00CF58D3">
        <w:rPr>
          <w:rFonts w:ascii="Times New Roman" w:hAnsi="Times New Roman" w:cs="Times New Roman"/>
        </w:rPr>
        <w:t xml:space="preserve">. To be eligible for risk-weighting purposes, it is ensured that the external credit assessment takes into account and reflects the entire amount of credit risk exposure the bank has with regard to all payments owed to it i.e., both principal and interest. External assessments for one entity within a corporate group is not used to risk weight other entities within the same group. </w:t>
      </w:r>
    </w:p>
    <w:p w:rsidR="00722A32" w:rsidRPr="00CF58D3" w:rsidRDefault="00722A32" w:rsidP="00722A32">
      <w:pPr>
        <w:autoSpaceDE w:val="0"/>
        <w:autoSpaceDN w:val="0"/>
        <w:adjustRightInd w:val="0"/>
        <w:spacing w:after="0"/>
        <w:jc w:val="both"/>
        <w:rPr>
          <w:rFonts w:ascii="Times New Roman" w:hAnsi="Times New Roman" w:cs="Times New Roman"/>
        </w:rPr>
      </w:pPr>
    </w:p>
    <w:p w:rsidR="00722A32" w:rsidRPr="00CF58D3" w:rsidRDefault="00722A32" w:rsidP="00722A32">
      <w:pPr>
        <w:autoSpaceDE w:val="0"/>
        <w:autoSpaceDN w:val="0"/>
        <w:adjustRightInd w:val="0"/>
        <w:spacing w:after="0"/>
        <w:jc w:val="both"/>
        <w:rPr>
          <w:rFonts w:ascii="Times New Roman" w:hAnsi="Times New Roman" w:cs="Times New Roman"/>
        </w:rPr>
      </w:pPr>
      <w:r w:rsidRPr="00CF58D3">
        <w:rPr>
          <w:rFonts w:ascii="Times New Roman" w:hAnsi="Times New Roman" w:cstheme="minorBidi" w:hint="cs"/>
          <w:szCs w:val="20"/>
          <w:cs/>
          <w:lang w:bidi="hi-IN"/>
        </w:rPr>
        <w:t>5</w:t>
      </w:r>
      <w:r w:rsidRPr="00CF58D3">
        <w:rPr>
          <w:rFonts w:ascii="Times New Roman" w:hAnsi="Times New Roman" w:cs="Times New Roman"/>
        </w:rPr>
        <w:t xml:space="preserve">. For assets that have contractual </w:t>
      </w:r>
      <w:r w:rsidRPr="00CF58D3">
        <w:rPr>
          <w:rFonts w:ascii="Times New Roman" w:hAnsi="Times New Roman" w:cs="Times New Roman"/>
          <w:bCs/>
        </w:rPr>
        <w:t>maturity less than or equal to one year</w:t>
      </w:r>
      <w:r w:rsidRPr="00CF58D3">
        <w:rPr>
          <w:rFonts w:ascii="Times New Roman" w:hAnsi="Times New Roman" w:cs="Times New Roman"/>
        </w:rPr>
        <w:t xml:space="preserve">, </w:t>
      </w:r>
      <w:r w:rsidRPr="00CF58D3">
        <w:rPr>
          <w:rFonts w:ascii="Times New Roman" w:hAnsi="Times New Roman" w:cs="Times New Roman"/>
          <w:bCs/>
        </w:rPr>
        <w:t xml:space="preserve">short term ratings </w:t>
      </w:r>
      <w:r w:rsidRPr="00CF58D3">
        <w:rPr>
          <w:rFonts w:ascii="Times New Roman" w:hAnsi="Times New Roman" w:cs="Times New Roman"/>
        </w:rPr>
        <w:t xml:space="preserve">are used while for other assets, </w:t>
      </w:r>
      <w:r w:rsidRPr="00CF58D3">
        <w:rPr>
          <w:rFonts w:ascii="Times New Roman" w:hAnsi="Times New Roman" w:cs="Times New Roman"/>
          <w:bCs/>
        </w:rPr>
        <w:t xml:space="preserve">long term ratings </w:t>
      </w:r>
      <w:r w:rsidRPr="00CF58D3">
        <w:rPr>
          <w:rFonts w:ascii="Times New Roman" w:hAnsi="Times New Roman" w:cs="Times New Roman"/>
        </w:rPr>
        <w:t xml:space="preserve">are used. For Cash Credit exposures long term ratings are taken. </w:t>
      </w:r>
    </w:p>
    <w:p w:rsidR="00722A32" w:rsidRPr="00CF58D3" w:rsidRDefault="00722A32" w:rsidP="00722A32">
      <w:pPr>
        <w:autoSpaceDE w:val="0"/>
        <w:autoSpaceDN w:val="0"/>
        <w:adjustRightInd w:val="0"/>
        <w:spacing w:after="0"/>
        <w:jc w:val="both"/>
        <w:rPr>
          <w:rFonts w:ascii="Times New Roman" w:hAnsi="Times New Roman" w:cs="Times New Roman"/>
        </w:rPr>
      </w:pPr>
    </w:p>
    <w:p w:rsidR="00722A32" w:rsidRPr="00CF58D3" w:rsidRDefault="00722A32" w:rsidP="00722A32">
      <w:pPr>
        <w:autoSpaceDE w:val="0"/>
        <w:autoSpaceDN w:val="0"/>
        <w:adjustRightInd w:val="0"/>
        <w:spacing w:after="0"/>
        <w:jc w:val="both"/>
        <w:rPr>
          <w:rFonts w:ascii="Times New Roman" w:hAnsi="Times New Roman" w:cs="Times New Roman"/>
        </w:rPr>
      </w:pPr>
      <w:r w:rsidRPr="00CF58D3">
        <w:rPr>
          <w:rFonts w:ascii="Times New Roman" w:hAnsi="Times New Roman" w:cstheme="minorBidi" w:hint="cs"/>
          <w:szCs w:val="20"/>
          <w:cs/>
          <w:lang w:bidi="hi-IN"/>
        </w:rPr>
        <w:t>6</w:t>
      </w:r>
      <w:r w:rsidRPr="00CF58D3">
        <w:rPr>
          <w:rFonts w:ascii="Times New Roman" w:hAnsi="Times New Roman" w:cs="Times New Roman"/>
        </w:rPr>
        <w:t xml:space="preserve">. Where an issuer has a long-term exposure with an external long term rating that warrants a risk weight of 150%, all unrated claims on the same counterparty, whether short-term or long-term, also receive a 150% </w:t>
      </w:r>
      <w:r w:rsidRPr="00CF58D3">
        <w:rPr>
          <w:rFonts w:ascii="Times New Roman" w:hAnsi="Times New Roman" w:cs="Times New Roman"/>
        </w:rPr>
        <w:lastRenderedPageBreak/>
        <w:t xml:space="preserve">risk weight, except </w:t>
      </w:r>
      <w:proofErr w:type="spellStart"/>
      <w:r w:rsidRPr="00CF58D3">
        <w:rPr>
          <w:rFonts w:ascii="Times New Roman" w:hAnsi="Times New Roman" w:cs="Times New Roman"/>
        </w:rPr>
        <w:t>incases</w:t>
      </w:r>
      <w:proofErr w:type="spellEnd"/>
      <w:r w:rsidRPr="00CF58D3">
        <w:rPr>
          <w:rFonts w:ascii="Times New Roman" w:hAnsi="Times New Roman" w:cs="Times New Roman"/>
        </w:rPr>
        <w:t xml:space="preserve"> where credit risk mitigation techniques are used for such claims. Similar is the case with short-term rating.</w:t>
      </w:r>
    </w:p>
    <w:p w:rsidR="00722A32" w:rsidRPr="00CF58D3" w:rsidRDefault="00722A32" w:rsidP="00722A32">
      <w:pPr>
        <w:autoSpaceDE w:val="0"/>
        <w:autoSpaceDN w:val="0"/>
        <w:adjustRightInd w:val="0"/>
        <w:spacing w:after="0"/>
        <w:jc w:val="both"/>
        <w:rPr>
          <w:rFonts w:ascii="Times New Roman" w:hAnsi="Times New Roman" w:cs="Times New Roman"/>
        </w:rPr>
      </w:pPr>
    </w:p>
    <w:p w:rsidR="00722A32" w:rsidRPr="00CF58D3" w:rsidRDefault="00722A32" w:rsidP="00722A32">
      <w:pPr>
        <w:autoSpaceDE w:val="0"/>
        <w:autoSpaceDN w:val="0"/>
        <w:adjustRightInd w:val="0"/>
        <w:spacing w:after="0"/>
        <w:jc w:val="both"/>
        <w:rPr>
          <w:rFonts w:ascii="Times New Roman" w:hAnsi="Times New Roman" w:cs="Times New Roman"/>
        </w:rPr>
      </w:pPr>
      <w:r w:rsidRPr="00CF58D3">
        <w:rPr>
          <w:rFonts w:ascii="Times New Roman" w:hAnsi="Times New Roman" w:cstheme="minorBidi" w:hint="cs"/>
          <w:szCs w:val="20"/>
          <w:cs/>
          <w:lang w:bidi="hi-IN"/>
        </w:rPr>
        <w:t>7</w:t>
      </w:r>
      <w:r w:rsidRPr="00CF58D3">
        <w:rPr>
          <w:rFonts w:ascii="Times New Roman" w:hAnsi="Times New Roman" w:cs="Times New Roman"/>
        </w:rPr>
        <w:t xml:space="preserve">. The </w:t>
      </w:r>
      <w:r w:rsidRPr="00CF58D3">
        <w:rPr>
          <w:rFonts w:ascii="Times New Roman" w:hAnsi="Times New Roman" w:cs="Times New Roman"/>
          <w:b/>
          <w:bCs/>
          <w:u w:val="single"/>
        </w:rPr>
        <w:t>Short</w:t>
      </w:r>
      <w:r w:rsidRPr="00CF58D3">
        <w:rPr>
          <w:rFonts w:ascii="Times New Roman" w:hAnsi="Times New Roman" w:cs="Times New Roman"/>
        </w:rPr>
        <w:t xml:space="preserve">-term ratings assigned by the approved rating agencies are directly mapped to the risk weights under the </w:t>
      </w:r>
      <w:proofErr w:type="spellStart"/>
      <w:r w:rsidRPr="00CF58D3">
        <w:rPr>
          <w:rFonts w:ascii="Times New Roman" w:hAnsi="Times New Roman" w:cs="Times New Roman"/>
        </w:rPr>
        <w:t>Standardised</w:t>
      </w:r>
      <w:proofErr w:type="spellEnd"/>
      <w:r w:rsidRPr="00CF58D3">
        <w:rPr>
          <w:rFonts w:ascii="Times New Roman" w:hAnsi="Times New Roman" w:cs="Times New Roman"/>
        </w:rPr>
        <w:t xml:space="preserve"> Approach for short-term exposures. </w:t>
      </w:r>
    </w:p>
    <w:p w:rsidR="00722A32" w:rsidRPr="00CF58D3" w:rsidRDefault="00722A32" w:rsidP="00722A32">
      <w:pPr>
        <w:autoSpaceDE w:val="0"/>
        <w:autoSpaceDN w:val="0"/>
        <w:adjustRightInd w:val="0"/>
        <w:spacing w:after="0"/>
        <w:jc w:val="both"/>
        <w:rPr>
          <w:rFonts w:ascii="Times New Roman" w:hAnsi="Times New Roman" w:cs="Times New Roman"/>
        </w:rPr>
      </w:pPr>
    </w:p>
    <w:p w:rsidR="00722A32" w:rsidRPr="00CF58D3" w:rsidRDefault="00722A32" w:rsidP="00722A32">
      <w:pPr>
        <w:autoSpaceDE w:val="0"/>
        <w:autoSpaceDN w:val="0"/>
        <w:adjustRightInd w:val="0"/>
        <w:spacing w:after="0"/>
        <w:jc w:val="both"/>
        <w:rPr>
          <w:rFonts w:ascii="Times New Roman" w:hAnsi="Times New Roman" w:cs="Times New Roman"/>
          <w:bCs/>
        </w:rPr>
      </w:pPr>
      <w:r w:rsidRPr="00CF58D3">
        <w:rPr>
          <w:rFonts w:ascii="Times New Roman" w:hAnsi="Times New Roman" w:cs="Times New Roman"/>
        </w:rPr>
        <w:t>A mechanism for mapping of internal ratings of short term</w:t>
      </w:r>
      <w:r w:rsidRPr="00CF58D3">
        <w:rPr>
          <w:rFonts w:ascii="Times New Roman" w:hAnsi="Times New Roman" w:cs="Times New Roman"/>
          <w:bCs/>
        </w:rPr>
        <w:t xml:space="preserve"> loans (up to 1 year) with Short Term ratings of External Credit Rating Agencies, on similar lines as risk weight mapping given by RBI, is already in vogue in our bank.</w:t>
      </w:r>
    </w:p>
    <w:p w:rsidR="00722A32" w:rsidRPr="00CF58D3" w:rsidRDefault="00722A32" w:rsidP="00722A32">
      <w:pPr>
        <w:autoSpaceDE w:val="0"/>
        <w:autoSpaceDN w:val="0"/>
        <w:adjustRightInd w:val="0"/>
        <w:spacing w:after="0"/>
        <w:jc w:val="both"/>
        <w:rPr>
          <w:rFonts w:ascii="Times New Roman" w:hAnsi="Times New Roman" w:cs="Times New Roman"/>
        </w:rPr>
      </w:pPr>
    </w:p>
    <w:p w:rsidR="00722A32" w:rsidRPr="00CF58D3" w:rsidRDefault="00722A32" w:rsidP="00722A32">
      <w:pPr>
        <w:autoSpaceDE w:val="0"/>
        <w:autoSpaceDN w:val="0"/>
        <w:adjustRightInd w:val="0"/>
        <w:spacing w:after="0"/>
        <w:jc w:val="both"/>
        <w:rPr>
          <w:rFonts w:ascii="Times New Roman" w:hAnsi="Times New Roman" w:cs="Times New Roman"/>
        </w:rPr>
      </w:pPr>
      <w:r w:rsidRPr="00CF58D3">
        <w:rPr>
          <w:rFonts w:ascii="Times New Roman" w:hAnsi="Times New Roman" w:cs="Times New Roman"/>
        </w:rPr>
        <w:t xml:space="preserve">Further, </w:t>
      </w:r>
      <w:r w:rsidRPr="00CF58D3">
        <w:rPr>
          <w:rFonts w:ascii="Times New Roman" w:hAnsi="Times New Roman" w:cs="Times New Roman"/>
          <w:bCs/>
        </w:rPr>
        <w:t xml:space="preserve">a revised mapping matrix of internal ratings of Long </w:t>
      </w:r>
      <w:r w:rsidRPr="00CF58D3">
        <w:rPr>
          <w:rFonts w:ascii="Times New Roman" w:hAnsi="Times New Roman" w:cs="Times New Roman"/>
        </w:rPr>
        <w:t>term loans with Long Term Ratings of Exte</w:t>
      </w:r>
      <w:r w:rsidR="00506FDF" w:rsidRPr="00CF58D3">
        <w:rPr>
          <w:rFonts w:ascii="Times New Roman" w:hAnsi="Times New Roman" w:cs="Times New Roman"/>
        </w:rPr>
        <w:t xml:space="preserve">rnal Credit Rating Agencies, </w:t>
      </w:r>
      <w:r w:rsidRPr="00CF58D3">
        <w:rPr>
          <w:rFonts w:ascii="Times New Roman" w:hAnsi="Times New Roman" w:cs="Times New Roman"/>
        </w:rPr>
        <w:t xml:space="preserve">has been approved by the Board. </w:t>
      </w:r>
    </w:p>
    <w:p w:rsidR="00722A32" w:rsidRPr="00CF58D3" w:rsidRDefault="00722A32" w:rsidP="00722A32">
      <w:pPr>
        <w:autoSpaceDE w:val="0"/>
        <w:autoSpaceDN w:val="0"/>
        <w:adjustRightInd w:val="0"/>
        <w:spacing w:after="0"/>
        <w:jc w:val="both"/>
        <w:rPr>
          <w:rFonts w:ascii="Times New Roman" w:hAnsi="Times New Roman" w:cs="Times New Roman"/>
        </w:rPr>
      </w:pPr>
    </w:p>
    <w:p w:rsidR="00722A32" w:rsidRPr="00CF58D3" w:rsidRDefault="00722A32" w:rsidP="00722A32">
      <w:pPr>
        <w:autoSpaceDE w:val="0"/>
        <w:autoSpaceDN w:val="0"/>
        <w:adjustRightInd w:val="0"/>
        <w:spacing w:after="0"/>
        <w:jc w:val="both"/>
        <w:rPr>
          <w:rFonts w:ascii="Times New Roman" w:hAnsi="Times New Roman" w:cs="Times New Roman"/>
        </w:rPr>
      </w:pPr>
      <w:r w:rsidRPr="00CF58D3">
        <w:rPr>
          <w:rFonts w:ascii="Times New Roman" w:hAnsi="Times New Roman" w:cstheme="minorBidi" w:hint="cs"/>
          <w:szCs w:val="20"/>
          <w:cs/>
          <w:lang w:bidi="hi-IN"/>
        </w:rPr>
        <w:t>8</w:t>
      </w:r>
      <w:r w:rsidRPr="00CF58D3">
        <w:rPr>
          <w:rFonts w:ascii="Times New Roman" w:hAnsi="Times New Roman" w:cs="Times New Roman"/>
        </w:rPr>
        <w:t xml:space="preserve">. If there are two ratings accorded by eligible credit rating agencies, which map into different risk weights, the higher risk weight is applied. If there are three or more ratings accorded by eligible credit rating agencies with different risk weights, the ratings corresponding to the two lowest risk weights are referred to and the higher of those two risk weights are applied, i.e., the second lowest risk weight.  </w:t>
      </w:r>
    </w:p>
    <w:p w:rsidR="00722A32" w:rsidRPr="00CF58D3" w:rsidRDefault="00722A32" w:rsidP="00722A32">
      <w:pPr>
        <w:autoSpaceDE w:val="0"/>
        <w:autoSpaceDN w:val="0"/>
        <w:adjustRightInd w:val="0"/>
        <w:spacing w:after="0"/>
        <w:jc w:val="both"/>
        <w:rPr>
          <w:rFonts w:ascii="Times New Roman" w:hAnsi="Times New Roman" w:cs="Times New Roman"/>
        </w:rPr>
      </w:pPr>
    </w:p>
    <w:p w:rsidR="00722A32" w:rsidRPr="00CF58D3" w:rsidRDefault="00722A32" w:rsidP="00722A32">
      <w:pPr>
        <w:autoSpaceDE w:val="0"/>
        <w:autoSpaceDN w:val="0"/>
        <w:adjustRightInd w:val="0"/>
        <w:spacing w:after="0"/>
        <w:jc w:val="both"/>
        <w:rPr>
          <w:rFonts w:ascii="Times New Roman" w:hAnsi="Times New Roman" w:cs="Times New Roman"/>
        </w:rPr>
      </w:pPr>
      <w:r w:rsidRPr="00CF58D3">
        <w:rPr>
          <w:rFonts w:ascii="Times New Roman" w:hAnsi="Times New Roman" w:cstheme="minorBidi" w:hint="cs"/>
          <w:szCs w:val="20"/>
          <w:cs/>
          <w:lang w:bidi="hi-IN"/>
        </w:rPr>
        <w:t>9</w:t>
      </w:r>
      <w:r w:rsidRPr="00CF58D3">
        <w:rPr>
          <w:rFonts w:ascii="Times New Roman" w:hAnsi="Times New Roman" w:cs="Times New Roman"/>
        </w:rPr>
        <w:t xml:space="preserve">. The RW of the investment claim is based on specific rating by a chosen credit rating agency, where the claim is not an investment in a specific assessed issue: </w:t>
      </w:r>
    </w:p>
    <w:p w:rsidR="00722A32" w:rsidRPr="00CF58D3" w:rsidRDefault="00722A32" w:rsidP="00722A32">
      <w:pPr>
        <w:autoSpaceDE w:val="0"/>
        <w:autoSpaceDN w:val="0"/>
        <w:adjustRightInd w:val="0"/>
        <w:spacing w:after="0"/>
        <w:jc w:val="both"/>
        <w:rPr>
          <w:rFonts w:ascii="Times New Roman" w:hAnsi="Times New Roman" w:cs="Times New Roman"/>
        </w:rPr>
      </w:pPr>
    </w:p>
    <w:p w:rsidR="00722A32" w:rsidRPr="00CF58D3" w:rsidRDefault="00722A32" w:rsidP="00722A32">
      <w:pPr>
        <w:autoSpaceDE w:val="0"/>
        <w:autoSpaceDN w:val="0"/>
        <w:adjustRightInd w:val="0"/>
        <w:spacing w:after="0"/>
        <w:jc w:val="both"/>
        <w:rPr>
          <w:rFonts w:ascii="Times New Roman" w:hAnsi="Times New Roman" w:cs="Times New Roman"/>
        </w:rPr>
      </w:pPr>
      <w:r w:rsidRPr="00CF58D3">
        <w:rPr>
          <w:rFonts w:ascii="Times New Roman" w:hAnsi="Times New Roman" w:cs="Times New Roman"/>
        </w:rPr>
        <w:t xml:space="preserve">i) the rating applicable to the specific debt (where the rating maps into a risk weight lower than that which applies to an unrated claim) is applied to the bank’s un-assessed claim only if this claim ranks </w:t>
      </w:r>
      <w:proofErr w:type="spellStart"/>
      <w:r w:rsidRPr="00CF58D3">
        <w:rPr>
          <w:rFonts w:ascii="Times New Roman" w:hAnsi="Times New Roman" w:cs="Times New Roman"/>
          <w:i/>
          <w:iCs/>
        </w:rPr>
        <w:t>paripassu</w:t>
      </w:r>
      <w:proofErr w:type="spellEnd"/>
      <w:r w:rsidR="00D17E08">
        <w:rPr>
          <w:rFonts w:ascii="Times New Roman" w:hAnsi="Times New Roman" w:cs="Times New Roman"/>
          <w:i/>
          <w:iCs/>
        </w:rPr>
        <w:t xml:space="preserve"> </w:t>
      </w:r>
      <w:r w:rsidRPr="00CF58D3">
        <w:rPr>
          <w:rFonts w:ascii="Times New Roman" w:hAnsi="Times New Roman" w:cs="Times New Roman"/>
        </w:rPr>
        <w:t>or senior to the specific rated debt in all respects and the maturity of the un-assessed claim is not later than the maturity of the rated claim</w:t>
      </w:r>
      <w:r w:rsidRPr="00CF58D3">
        <w:rPr>
          <w:rFonts w:ascii="Times New Roman" w:hAnsi="Times New Roman" w:cs="Times New Roman"/>
          <w:b/>
          <w:bCs/>
        </w:rPr>
        <w:t>, e</w:t>
      </w:r>
      <w:r w:rsidRPr="00CF58D3">
        <w:rPr>
          <w:rFonts w:ascii="Times New Roman" w:hAnsi="Times New Roman" w:cs="Times New Roman"/>
        </w:rPr>
        <w:t xml:space="preserve">xcept where the rated claim is a short term obligation. </w:t>
      </w:r>
    </w:p>
    <w:p w:rsidR="00722A32" w:rsidRPr="00CF58D3" w:rsidRDefault="00722A32" w:rsidP="00722A32">
      <w:pPr>
        <w:autoSpaceDE w:val="0"/>
        <w:autoSpaceDN w:val="0"/>
        <w:adjustRightInd w:val="0"/>
        <w:spacing w:after="0"/>
        <w:jc w:val="both"/>
        <w:rPr>
          <w:rFonts w:ascii="Times New Roman" w:hAnsi="Times New Roman" w:cs="Times New Roman"/>
        </w:rPr>
      </w:pPr>
    </w:p>
    <w:p w:rsidR="00FB17CB" w:rsidRPr="00CF58D3" w:rsidRDefault="00722A32" w:rsidP="00722A32">
      <w:pPr>
        <w:autoSpaceDE w:val="0"/>
        <w:autoSpaceDN w:val="0"/>
        <w:adjustRightInd w:val="0"/>
        <w:spacing w:after="0"/>
        <w:jc w:val="both"/>
        <w:rPr>
          <w:rFonts w:ascii="Times New Roman" w:hAnsi="Times New Roman" w:cs="Times New Roman"/>
        </w:rPr>
      </w:pPr>
      <w:r w:rsidRPr="00CF58D3">
        <w:rPr>
          <w:rFonts w:ascii="Times New Roman" w:hAnsi="Times New Roman" w:cs="Times New Roman"/>
        </w:rPr>
        <w:t xml:space="preserve">ii) if either the issuer or single issue has been assigned a rating which maps into a risk weight equal to or higher than that which applies to unrated claims, an unrated claim on the same counterparty, is assigned the same risk weight as is applicable to the rated exposure, if this claim ranks </w:t>
      </w:r>
      <w:proofErr w:type="spellStart"/>
      <w:r w:rsidRPr="00CF58D3">
        <w:rPr>
          <w:rFonts w:ascii="Times New Roman" w:hAnsi="Times New Roman" w:cs="Times New Roman"/>
          <w:i/>
          <w:iCs/>
        </w:rPr>
        <w:t>paripassu</w:t>
      </w:r>
      <w:proofErr w:type="spellEnd"/>
      <w:r w:rsidR="00D17E08">
        <w:rPr>
          <w:rFonts w:ascii="Times New Roman" w:hAnsi="Times New Roman" w:cs="Times New Roman"/>
          <w:i/>
          <w:iCs/>
        </w:rPr>
        <w:t xml:space="preserve"> </w:t>
      </w:r>
      <w:r w:rsidRPr="00CF58D3">
        <w:rPr>
          <w:rFonts w:ascii="Times New Roman" w:hAnsi="Times New Roman" w:cs="Times New Roman"/>
        </w:rPr>
        <w:t>or junior to the rated exposure in all respects.</w:t>
      </w:r>
    </w:p>
    <w:p w:rsidR="00AF514E" w:rsidRPr="00CF58D3" w:rsidRDefault="00AF514E" w:rsidP="00722A32">
      <w:pPr>
        <w:autoSpaceDE w:val="0"/>
        <w:autoSpaceDN w:val="0"/>
        <w:adjustRightInd w:val="0"/>
        <w:spacing w:after="0"/>
        <w:jc w:val="both"/>
        <w:rPr>
          <w:rFonts w:ascii="Times New Roman" w:hAnsi="Times New Roman" w:cs="Times New Roman"/>
        </w:rPr>
      </w:pPr>
    </w:p>
    <w:p w:rsidR="00AF514E" w:rsidRPr="00CF58D3" w:rsidRDefault="00AF514E" w:rsidP="00722A32">
      <w:pPr>
        <w:autoSpaceDE w:val="0"/>
        <w:autoSpaceDN w:val="0"/>
        <w:adjustRightInd w:val="0"/>
        <w:spacing w:after="0"/>
        <w:jc w:val="both"/>
        <w:rPr>
          <w:rFonts w:ascii="Times New Roman" w:hAnsi="Times New Roman" w:cs="Times New Roman"/>
          <w:b/>
          <w:bCs/>
          <w:u w:val="single"/>
        </w:rPr>
      </w:pPr>
      <w:r w:rsidRPr="00CF58D3">
        <w:rPr>
          <w:rFonts w:ascii="Times New Roman" w:hAnsi="Times New Roman" w:cs="Times New Roman"/>
          <w:b/>
          <w:bCs/>
          <w:u w:val="single"/>
        </w:rPr>
        <w:t>Exposure amounts after risk mitigation subject to the standardized approach</w:t>
      </w:r>
    </w:p>
    <w:p w:rsidR="00AF514E" w:rsidRPr="00CF58D3" w:rsidRDefault="00AF514E" w:rsidP="00722A32">
      <w:pPr>
        <w:autoSpaceDE w:val="0"/>
        <w:autoSpaceDN w:val="0"/>
        <w:adjustRightInd w:val="0"/>
        <w:spacing w:after="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5"/>
        <w:gridCol w:w="4230"/>
      </w:tblGrid>
      <w:tr w:rsidR="00722A32" w:rsidRPr="00CF58D3" w:rsidTr="00A125FB">
        <w:trPr>
          <w:trHeight w:val="521"/>
        </w:trPr>
        <w:tc>
          <w:tcPr>
            <w:tcW w:w="3775" w:type="dxa"/>
          </w:tcPr>
          <w:p w:rsidR="00722A32" w:rsidRPr="00CF58D3" w:rsidRDefault="00722A32" w:rsidP="00722A32">
            <w:pPr>
              <w:spacing w:after="0" w:line="240" w:lineRule="auto"/>
              <w:rPr>
                <w:rFonts w:ascii="Times New Roman" w:hAnsi="Times New Roman" w:cs="Times New Roman"/>
                <w:b/>
              </w:rPr>
            </w:pPr>
            <w:r w:rsidRPr="00CF58D3">
              <w:rPr>
                <w:rFonts w:ascii="Times New Roman" w:hAnsi="Times New Roman" w:cs="Times New Roman"/>
                <w:b/>
              </w:rPr>
              <w:t>Risk Weight Category</w:t>
            </w:r>
          </w:p>
        </w:tc>
        <w:tc>
          <w:tcPr>
            <w:tcW w:w="4230" w:type="dxa"/>
          </w:tcPr>
          <w:p w:rsidR="00722A32" w:rsidRPr="00CF58D3" w:rsidRDefault="00722A32" w:rsidP="00722A32">
            <w:pPr>
              <w:spacing w:after="0" w:line="240" w:lineRule="auto"/>
              <w:rPr>
                <w:rFonts w:ascii="Times New Roman" w:hAnsi="Times New Roman" w:cs="Times New Roman"/>
                <w:b/>
              </w:rPr>
            </w:pPr>
            <w:r w:rsidRPr="00CF58D3">
              <w:rPr>
                <w:rFonts w:ascii="Times New Roman" w:hAnsi="Times New Roman" w:cs="Times New Roman"/>
                <w:b/>
              </w:rPr>
              <w:t>Exposure After Credit Risk Mitigation</w:t>
            </w:r>
          </w:p>
        </w:tc>
      </w:tr>
      <w:tr w:rsidR="00152893" w:rsidRPr="00CF58D3" w:rsidTr="00A125FB">
        <w:tc>
          <w:tcPr>
            <w:tcW w:w="3775" w:type="dxa"/>
          </w:tcPr>
          <w:p w:rsidR="00152893" w:rsidRPr="00CF58D3" w:rsidRDefault="00152893" w:rsidP="00494A70">
            <w:pPr>
              <w:spacing w:after="0" w:line="240" w:lineRule="auto"/>
              <w:rPr>
                <w:rFonts w:ascii="Times New Roman" w:hAnsi="Times New Roman" w:cs="Times New Roman"/>
              </w:rPr>
            </w:pPr>
            <w:r w:rsidRPr="00CF58D3">
              <w:rPr>
                <w:rFonts w:ascii="Times New Roman" w:hAnsi="Times New Roman" w:cs="Times New Roman"/>
              </w:rPr>
              <w:t>Below 100 % risk weight</w:t>
            </w:r>
          </w:p>
        </w:tc>
        <w:tc>
          <w:tcPr>
            <w:tcW w:w="4230" w:type="dxa"/>
            <w:vAlign w:val="bottom"/>
          </w:tcPr>
          <w:p w:rsidR="00152893" w:rsidRPr="003C0485" w:rsidRDefault="0088587B" w:rsidP="00152893">
            <w:pPr>
              <w:jc w:val="center"/>
              <w:rPr>
                <w:rFonts w:cs="Calibri"/>
                <w:color w:val="000000"/>
              </w:rPr>
            </w:pPr>
            <w:r w:rsidRPr="003C0485">
              <w:rPr>
                <w:rFonts w:cs="Calibri"/>
                <w:color w:val="000000"/>
              </w:rPr>
              <w:t>3432439</w:t>
            </w:r>
          </w:p>
        </w:tc>
      </w:tr>
      <w:tr w:rsidR="00152893" w:rsidRPr="00CF58D3" w:rsidTr="00A125FB">
        <w:tc>
          <w:tcPr>
            <w:tcW w:w="3775" w:type="dxa"/>
          </w:tcPr>
          <w:p w:rsidR="00152893" w:rsidRPr="00CF58D3" w:rsidRDefault="00152893" w:rsidP="00494A70">
            <w:pPr>
              <w:spacing w:after="0" w:line="240" w:lineRule="auto"/>
              <w:rPr>
                <w:rFonts w:ascii="Times New Roman" w:hAnsi="Times New Roman" w:cs="Times New Roman"/>
              </w:rPr>
            </w:pPr>
            <w:r w:rsidRPr="00CF58D3">
              <w:rPr>
                <w:rFonts w:ascii="Times New Roman" w:hAnsi="Times New Roman" w:cs="Times New Roman"/>
              </w:rPr>
              <w:t>100 % risk weight</w:t>
            </w:r>
          </w:p>
        </w:tc>
        <w:tc>
          <w:tcPr>
            <w:tcW w:w="4230" w:type="dxa"/>
            <w:vAlign w:val="bottom"/>
          </w:tcPr>
          <w:p w:rsidR="00152893" w:rsidRPr="003C0485" w:rsidRDefault="0088587B" w:rsidP="00152893">
            <w:pPr>
              <w:jc w:val="center"/>
              <w:rPr>
                <w:rFonts w:cs="Calibri"/>
                <w:color w:val="000000"/>
              </w:rPr>
            </w:pPr>
            <w:r w:rsidRPr="003C0485">
              <w:rPr>
                <w:rFonts w:cs="Calibri"/>
                <w:color w:val="000000"/>
              </w:rPr>
              <w:t>1004299</w:t>
            </w:r>
          </w:p>
        </w:tc>
      </w:tr>
      <w:tr w:rsidR="00494A70" w:rsidRPr="00CF58D3" w:rsidTr="00A125FB">
        <w:tc>
          <w:tcPr>
            <w:tcW w:w="3775" w:type="dxa"/>
          </w:tcPr>
          <w:p w:rsidR="00494A70" w:rsidRPr="00CF58D3" w:rsidRDefault="00494A70" w:rsidP="00494A70">
            <w:pPr>
              <w:spacing w:after="0" w:line="240" w:lineRule="auto"/>
              <w:rPr>
                <w:rFonts w:ascii="Times New Roman" w:hAnsi="Times New Roman" w:cs="Times New Roman"/>
              </w:rPr>
            </w:pPr>
            <w:r w:rsidRPr="00CF58D3">
              <w:rPr>
                <w:rFonts w:ascii="Times New Roman" w:hAnsi="Times New Roman" w:cs="Times New Roman"/>
              </w:rPr>
              <w:t>More than 100 % risk weight</w:t>
            </w:r>
          </w:p>
        </w:tc>
        <w:tc>
          <w:tcPr>
            <w:tcW w:w="4230" w:type="dxa"/>
            <w:vAlign w:val="bottom"/>
          </w:tcPr>
          <w:p w:rsidR="00494A70" w:rsidRPr="003C0485" w:rsidRDefault="0088587B" w:rsidP="00152893">
            <w:pPr>
              <w:jc w:val="center"/>
              <w:rPr>
                <w:rFonts w:cs="Calibri"/>
                <w:color w:val="000000"/>
              </w:rPr>
            </w:pPr>
            <w:r w:rsidRPr="003C0485">
              <w:rPr>
                <w:rFonts w:cs="Calibri"/>
                <w:color w:val="000000"/>
              </w:rPr>
              <w:t>416031</w:t>
            </w:r>
          </w:p>
        </w:tc>
      </w:tr>
      <w:tr w:rsidR="00494A70" w:rsidRPr="00CF58D3" w:rsidTr="00A125FB">
        <w:tc>
          <w:tcPr>
            <w:tcW w:w="3775" w:type="dxa"/>
          </w:tcPr>
          <w:p w:rsidR="00494A70" w:rsidRPr="00CF58D3" w:rsidRDefault="00494A70" w:rsidP="00494A70">
            <w:pPr>
              <w:spacing w:after="0" w:line="240" w:lineRule="auto"/>
              <w:rPr>
                <w:rFonts w:ascii="Times New Roman" w:hAnsi="Times New Roman" w:cs="Times New Roman"/>
              </w:rPr>
            </w:pPr>
            <w:r w:rsidRPr="00CF58D3">
              <w:rPr>
                <w:rFonts w:ascii="Times New Roman" w:hAnsi="Times New Roman" w:cs="Times New Roman"/>
              </w:rPr>
              <w:t>Deducted</w:t>
            </w:r>
          </w:p>
        </w:tc>
        <w:tc>
          <w:tcPr>
            <w:tcW w:w="4230" w:type="dxa"/>
            <w:vAlign w:val="bottom"/>
          </w:tcPr>
          <w:p w:rsidR="00494A70" w:rsidRPr="003C0485" w:rsidRDefault="0088587B" w:rsidP="00152893">
            <w:pPr>
              <w:jc w:val="center"/>
              <w:rPr>
                <w:rFonts w:cs="Calibri"/>
                <w:color w:val="000000"/>
              </w:rPr>
            </w:pPr>
            <w:r w:rsidRPr="003C0485">
              <w:rPr>
                <w:rFonts w:cs="Calibri"/>
                <w:color w:val="000000"/>
              </w:rPr>
              <w:t>2122234</w:t>
            </w:r>
          </w:p>
        </w:tc>
      </w:tr>
      <w:tr w:rsidR="00221990" w:rsidRPr="00CF58D3" w:rsidTr="00A125FB">
        <w:tc>
          <w:tcPr>
            <w:tcW w:w="3775" w:type="dxa"/>
          </w:tcPr>
          <w:p w:rsidR="00221990" w:rsidRPr="00CF58D3" w:rsidRDefault="00221990" w:rsidP="00221990">
            <w:pPr>
              <w:spacing w:after="0" w:line="240" w:lineRule="auto"/>
              <w:rPr>
                <w:rFonts w:ascii="Times New Roman" w:hAnsi="Times New Roman" w:cs="Times New Roman"/>
              </w:rPr>
            </w:pPr>
            <w:r w:rsidRPr="00CF58D3">
              <w:rPr>
                <w:rFonts w:ascii="Times New Roman" w:hAnsi="Times New Roman" w:cs="Times New Roman"/>
              </w:rPr>
              <w:t>TOTAL</w:t>
            </w:r>
          </w:p>
        </w:tc>
        <w:tc>
          <w:tcPr>
            <w:tcW w:w="4230" w:type="dxa"/>
            <w:vAlign w:val="bottom"/>
          </w:tcPr>
          <w:p w:rsidR="00221990" w:rsidRPr="003C0485" w:rsidRDefault="00B913F3" w:rsidP="00152893">
            <w:pPr>
              <w:jc w:val="center"/>
              <w:rPr>
                <w:rFonts w:ascii="Times New Roman" w:hAnsi="Times New Roman" w:cs="Times New Roman"/>
                <w:b/>
                <w:bCs/>
                <w:highlight w:val="yellow"/>
              </w:rPr>
            </w:pPr>
            <w:r w:rsidRPr="00B913F3">
              <w:rPr>
                <w:rFonts w:cs="Calibri"/>
                <w:b/>
                <w:bCs/>
                <w:color w:val="000000"/>
              </w:rPr>
              <w:t>4852769</w:t>
            </w:r>
          </w:p>
        </w:tc>
      </w:tr>
    </w:tbl>
    <w:p w:rsidR="00722A32" w:rsidRPr="00CF58D3" w:rsidRDefault="00722A32" w:rsidP="007344A8">
      <w:pPr>
        <w:autoSpaceDE w:val="0"/>
        <w:autoSpaceDN w:val="0"/>
        <w:adjustRightInd w:val="0"/>
        <w:spacing w:after="0" w:line="240" w:lineRule="auto"/>
        <w:rPr>
          <w:rFonts w:ascii="Times New Roman" w:hAnsi="Times New Roman" w:cs="Times New Roman"/>
          <w:b/>
          <w:bCs/>
        </w:rPr>
      </w:pPr>
    </w:p>
    <w:p w:rsidR="00722A32" w:rsidRPr="00CF58D3" w:rsidRDefault="00722A32" w:rsidP="007344A8">
      <w:pPr>
        <w:autoSpaceDE w:val="0"/>
        <w:autoSpaceDN w:val="0"/>
        <w:adjustRightInd w:val="0"/>
        <w:spacing w:after="0" w:line="240" w:lineRule="auto"/>
        <w:rPr>
          <w:rFonts w:ascii="Times New Roman" w:hAnsi="Times New Roman" w:cs="Times New Roman"/>
          <w:b/>
          <w:bCs/>
        </w:rPr>
      </w:pPr>
    </w:p>
    <w:p w:rsidR="006065CF" w:rsidRPr="00CF58D3" w:rsidRDefault="006065CF" w:rsidP="007344A8">
      <w:pPr>
        <w:autoSpaceDE w:val="0"/>
        <w:autoSpaceDN w:val="0"/>
        <w:adjustRightInd w:val="0"/>
        <w:spacing w:after="0" w:line="240" w:lineRule="auto"/>
        <w:rPr>
          <w:rFonts w:ascii="Times New Roman" w:hAnsi="Times New Roman" w:cs="Times New Roman"/>
          <w:b/>
          <w:bCs/>
        </w:rPr>
        <w:sectPr w:rsidR="006065CF" w:rsidRPr="00CF58D3" w:rsidSect="001B74A7">
          <w:footerReference w:type="default" r:id="rId8"/>
          <w:footerReference w:type="first" r:id="rId9"/>
          <w:pgSz w:w="12240" w:h="15840"/>
          <w:pgMar w:top="1260" w:right="1440" w:bottom="1170" w:left="1440" w:header="720" w:footer="720" w:gutter="0"/>
          <w:cols w:space="720"/>
          <w:titlePg/>
          <w:docGrid w:linePitch="360"/>
        </w:sectPr>
      </w:pPr>
    </w:p>
    <w:p w:rsidR="00A30257" w:rsidRDefault="00A30257" w:rsidP="006065CF">
      <w:pPr>
        <w:spacing w:after="0" w:line="240" w:lineRule="auto"/>
        <w:rPr>
          <w:rFonts w:ascii="Times New Roman" w:hAnsi="Times New Roman" w:cs="Times New Roman"/>
          <w:b/>
          <w:bCs/>
        </w:rPr>
      </w:pPr>
    </w:p>
    <w:p w:rsidR="007344A8" w:rsidRPr="00CF58D3" w:rsidRDefault="009711E9" w:rsidP="006065CF">
      <w:pPr>
        <w:spacing w:after="0" w:line="240" w:lineRule="auto"/>
        <w:rPr>
          <w:rFonts w:ascii="Times New Roman" w:hAnsi="Times New Roman" w:cs="Times New Roman"/>
          <w:b/>
          <w:bCs/>
        </w:rPr>
      </w:pPr>
      <w:proofErr w:type="spellStart"/>
      <w:r w:rsidRPr="00CF58D3">
        <w:rPr>
          <w:rFonts w:ascii="Times New Roman" w:hAnsi="Times New Roman" w:cs="Times New Roman"/>
          <w:b/>
          <w:bCs/>
        </w:rPr>
        <w:t>Tab</w:t>
      </w:r>
      <w:r w:rsidR="007344A8" w:rsidRPr="00CF58D3">
        <w:rPr>
          <w:rFonts w:ascii="Times New Roman" w:hAnsi="Times New Roman" w:cs="Times New Roman"/>
          <w:b/>
          <w:bCs/>
        </w:rPr>
        <w:t>e</w:t>
      </w:r>
      <w:proofErr w:type="spellEnd"/>
      <w:r w:rsidR="007344A8" w:rsidRPr="00CF58D3">
        <w:rPr>
          <w:rFonts w:ascii="Times New Roman" w:hAnsi="Times New Roman" w:cs="Times New Roman"/>
          <w:b/>
          <w:bCs/>
        </w:rPr>
        <w:t xml:space="preserve"> DF 13 – Main features of Regulatory Capital Instruments</w:t>
      </w:r>
    </w:p>
    <w:p w:rsidR="00465FB0" w:rsidRPr="00CF58D3" w:rsidRDefault="00465FB0" w:rsidP="007344A8">
      <w:pPr>
        <w:autoSpaceDE w:val="0"/>
        <w:autoSpaceDN w:val="0"/>
        <w:adjustRightInd w:val="0"/>
        <w:spacing w:after="0" w:line="240" w:lineRule="auto"/>
        <w:rPr>
          <w:rFonts w:ascii="Times New Roman" w:hAnsi="Times New Roman" w:cs="Times New Roman"/>
          <w:b/>
          <w:bCs/>
        </w:rPr>
      </w:pPr>
    </w:p>
    <w:tbl>
      <w:tblPr>
        <w:tblW w:w="143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572"/>
        <w:gridCol w:w="2249"/>
        <w:gridCol w:w="2160"/>
        <w:gridCol w:w="2509"/>
        <w:gridCol w:w="1937"/>
        <w:gridCol w:w="3474"/>
      </w:tblGrid>
      <w:tr w:rsidR="00656F0B" w:rsidRPr="00656F0B" w:rsidTr="000E18BD">
        <w:trPr>
          <w:trHeight w:val="810"/>
          <w:tblHeader/>
        </w:trPr>
        <w:tc>
          <w:tcPr>
            <w:tcW w:w="408" w:type="dxa"/>
            <w:shd w:val="clear" w:color="auto" w:fill="auto"/>
            <w:noWrap/>
            <w:vAlign w:val="center"/>
            <w:hideMark/>
          </w:tcPr>
          <w:p w:rsidR="00656F0B" w:rsidRPr="00656F0B" w:rsidRDefault="00656F0B" w:rsidP="00656F0B">
            <w:pPr>
              <w:spacing w:after="0" w:line="240" w:lineRule="auto"/>
              <w:jc w:val="both"/>
              <w:rPr>
                <w:rFonts w:asciiTheme="minorHAnsi" w:hAnsiTheme="minorHAnsi" w:cstheme="minorHAnsi"/>
                <w:b/>
                <w:color w:val="000000"/>
                <w:sz w:val="16"/>
                <w:szCs w:val="16"/>
                <w:lang w:val="en-IN" w:eastAsia="en-IN" w:bidi="hi-IN"/>
              </w:rPr>
            </w:pPr>
            <w:r w:rsidRPr="00656F0B">
              <w:rPr>
                <w:rFonts w:asciiTheme="minorHAnsi" w:hAnsiTheme="minorHAnsi" w:cstheme="minorHAnsi"/>
                <w:b/>
                <w:color w:val="000000"/>
                <w:sz w:val="16"/>
                <w:szCs w:val="16"/>
                <w:lang w:val="en-IN" w:eastAsia="en-IN" w:bidi="hi-IN"/>
              </w:rPr>
              <w:t>Sr. No</w:t>
            </w:r>
          </w:p>
        </w:tc>
        <w:tc>
          <w:tcPr>
            <w:tcW w:w="1572" w:type="dxa"/>
            <w:shd w:val="clear" w:color="auto" w:fill="auto"/>
            <w:noWrap/>
            <w:vAlign w:val="center"/>
            <w:hideMark/>
          </w:tcPr>
          <w:p w:rsidR="00656F0B" w:rsidRPr="00656F0B" w:rsidRDefault="00656F0B" w:rsidP="00656F0B">
            <w:pPr>
              <w:spacing w:after="0" w:line="240" w:lineRule="auto"/>
              <w:jc w:val="both"/>
              <w:rPr>
                <w:rFonts w:asciiTheme="minorHAnsi" w:hAnsiTheme="minorHAnsi" w:cstheme="minorHAnsi"/>
                <w:b/>
                <w:color w:val="000000"/>
                <w:sz w:val="16"/>
                <w:szCs w:val="16"/>
                <w:lang w:val="en-IN" w:eastAsia="en-IN" w:bidi="hi-IN"/>
              </w:rPr>
            </w:pPr>
            <w:r w:rsidRPr="00656F0B">
              <w:rPr>
                <w:rFonts w:asciiTheme="minorHAnsi" w:hAnsiTheme="minorHAnsi" w:cstheme="minorHAnsi"/>
                <w:b/>
                <w:color w:val="000000"/>
                <w:sz w:val="16"/>
                <w:szCs w:val="16"/>
                <w:lang w:val="en-IN" w:eastAsia="en-IN" w:bidi="hi-IN"/>
              </w:rPr>
              <w:t>Disclosure template for main features of regulatory capital instruments</w:t>
            </w:r>
          </w:p>
        </w:tc>
        <w:tc>
          <w:tcPr>
            <w:tcW w:w="2249" w:type="dxa"/>
            <w:shd w:val="clear" w:color="auto" w:fill="auto"/>
            <w:noWrap/>
            <w:vAlign w:val="center"/>
            <w:hideMark/>
          </w:tcPr>
          <w:p w:rsidR="00656F0B" w:rsidRPr="00656F0B" w:rsidRDefault="00656F0B" w:rsidP="00656F0B">
            <w:pPr>
              <w:spacing w:after="0" w:line="240" w:lineRule="auto"/>
              <w:jc w:val="both"/>
              <w:rPr>
                <w:rFonts w:asciiTheme="minorHAnsi" w:hAnsiTheme="minorHAnsi" w:cstheme="minorHAnsi"/>
                <w:b/>
                <w:color w:val="000000"/>
                <w:sz w:val="16"/>
                <w:szCs w:val="16"/>
                <w:lang w:val="en-IN" w:eastAsia="en-IN" w:bidi="hi-IN"/>
              </w:rPr>
            </w:pPr>
            <w:r w:rsidRPr="00656F0B">
              <w:rPr>
                <w:rFonts w:asciiTheme="minorHAnsi" w:hAnsiTheme="minorHAnsi" w:cstheme="minorHAnsi"/>
                <w:b/>
                <w:color w:val="000000"/>
                <w:sz w:val="16"/>
                <w:szCs w:val="16"/>
                <w:lang w:val="en-IN" w:eastAsia="en-IN" w:bidi="hi-IN"/>
              </w:rPr>
              <w:t xml:space="preserve">SERIES- XIII =300 </w:t>
            </w:r>
            <w:proofErr w:type="spellStart"/>
            <w:r w:rsidRPr="00656F0B">
              <w:rPr>
                <w:rFonts w:asciiTheme="minorHAnsi" w:hAnsiTheme="minorHAnsi" w:cstheme="minorHAnsi"/>
                <w:b/>
                <w:color w:val="000000"/>
                <w:sz w:val="16"/>
                <w:szCs w:val="16"/>
                <w:lang w:val="en-IN" w:eastAsia="en-IN" w:bidi="hi-IN"/>
              </w:rPr>
              <w:t>crore</w:t>
            </w:r>
            <w:proofErr w:type="spellEnd"/>
            <w:r w:rsidRPr="00656F0B">
              <w:rPr>
                <w:rFonts w:asciiTheme="minorHAnsi" w:hAnsiTheme="minorHAnsi" w:cstheme="minorHAnsi"/>
                <w:b/>
                <w:color w:val="000000"/>
                <w:sz w:val="16"/>
                <w:szCs w:val="16"/>
                <w:lang w:val="en-IN" w:eastAsia="en-IN" w:bidi="hi-IN"/>
              </w:rPr>
              <w:t xml:space="preserve"> </w:t>
            </w:r>
          </w:p>
        </w:tc>
        <w:tc>
          <w:tcPr>
            <w:tcW w:w="2160" w:type="dxa"/>
            <w:shd w:val="clear" w:color="auto" w:fill="auto"/>
            <w:noWrap/>
            <w:vAlign w:val="center"/>
            <w:hideMark/>
          </w:tcPr>
          <w:p w:rsidR="00656F0B" w:rsidRPr="00656F0B" w:rsidRDefault="00656F0B" w:rsidP="00656F0B">
            <w:pPr>
              <w:spacing w:after="0" w:line="240" w:lineRule="auto"/>
              <w:jc w:val="both"/>
              <w:rPr>
                <w:rFonts w:asciiTheme="minorHAnsi" w:hAnsiTheme="minorHAnsi" w:cstheme="minorHAnsi"/>
                <w:b/>
                <w:color w:val="000000"/>
                <w:sz w:val="16"/>
                <w:szCs w:val="16"/>
                <w:lang w:val="en-IN" w:eastAsia="en-IN" w:bidi="hi-IN"/>
              </w:rPr>
            </w:pPr>
            <w:r w:rsidRPr="00656F0B">
              <w:rPr>
                <w:rFonts w:asciiTheme="minorHAnsi" w:hAnsiTheme="minorHAnsi" w:cstheme="minorHAnsi"/>
                <w:b/>
                <w:color w:val="000000"/>
                <w:sz w:val="16"/>
                <w:szCs w:val="16"/>
                <w:lang w:val="en-IN" w:eastAsia="en-IN" w:bidi="hi-IN"/>
              </w:rPr>
              <w:t xml:space="preserve">SERIES- XIV =500 </w:t>
            </w:r>
            <w:proofErr w:type="spellStart"/>
            <w:r w:rsidRPr="00656F0B">
              <w:rPr>
                <w:rFonts w:asciiTheme="minorHAnsi" w:hAnsiTheme="minorHAnsi" w:cstheme="minorHAnsi"/>
                <w:b/>
                <w:color w:val="000000"/>
                <w:sz w:val="16"/>
                <w:szCs w:val="16"/>
                <w:lang w:val="en-IN" w:eastAsia="en-IN" w:bidi="hi-IN"/>
              </w:rPr>
              <w:t>crore</w:t>
            </w:r>
            <w:proofErr w:type="spellEnd"/>
            <w:r w:rsidRPr="00656F0B">
              <w:rPr>
                <w:rFonts w:asciiTheme="minorHAnsi" w:hAnsiTheme="minorHAnsi" w:cstheme="minorHAnsi"/>
                <w:b/>
                <w:color w:val="000000"/>
                <w:sz w:val="16"/>
                <w:szCs w:val="16"/>
                <w:lang w:val="en-IN" w:eastAsia="en-IN" w:bidi="hi-IN"/>
              </w:rPr>
              <w:t xml:space="preserve"> </w:t>
            </w:r>
          </w:p>
        </w:tc>
        <w:tc>
          <w:tcPr>
            <w:tcW w:w="2509" w:type="dxa"/>
            <w:shd w:val="clear" w:color="auto" w:fill="auto"/>
            <w:noWrap/>
            <w:vAlign w:val="center"/>
            <w:hideMark/>
          </w:tcPr>
          <w:p w:rsidR="00656F0B" w:rsidRPr="00656F0B" w:rsidRDefault="00656F0B" w:rsidP="00656F0B">
            <w:pPr>
              <w:spacing w:after="0" w:line="240" w:lineRule="auto"/>
              <w:jc w:val="both"/>
              <w:rPr>
                <w:rFonts w:asciiTheme="minorHAnsi" w:hAnsiTheme="minorHAnsi" w:cstheme="minorHAnsi"/>
                <w:b/>
                <w:color w:val="000000"/>
                <w:sz w:val="16"/>
                <w:szCs w:val="16"/>
                <w:lang w:val="en-IN" w:eastAsia="en-IN" w:bidi="hi-IN"/>
              </w:rPr>
            </w:pPr>
            <w:r w:rsidRPr="00656F0B">
              <w:rPr>
                <w:rFonts w:asciiTheme="minorHAnsi" w:hAnsiTheme="minorHAnsi" w:cstheme="minorHAnsi"/>
                <w:b/>
                <w:color w:val="000000"/>
                <w:sz w:val="16"/>
                <w:szCs w:val="16"/>
                <w:lang w:val="en-IN" w:eastAsia="en-IN" w:bidi="hi-IN"/>
              </w:rPr>
              <w:t>PSB AT-1 BONDS:SERIES 1</w:t>
            </w:r>
          </w:p>
        </w:tc>
        <w:tc>
          <w:tcPr>
            <w:tcW w:w="1937" w:type="dxa"/>
            <w:shd w:val="clear" w:color="auto" w:fill="auto"/>
            <w:noWrap/>
            <w:vAlign w:val="center"/>
            <w:hideMark/>
          </w:tcPr>
          <w:p w:rsidR="00656F0B" w:rsidRPr="00656F0B" w:rsidRDefault="00656F0B" w:rsidP="00656F0B">
            <w:pPr>
              <w:spacing w:after="0" w:line="240" w:lineRule="auto"/>
              <w:rPr>
                <w:rFonts w:asciiTheme="minorHAnsi" w:hAnsiTheme="minorHAnsi" w:cstheme="minorHAnsi"/>
                <w:b/>
                <w:bCs/>
                <w:color w:val="000000"/>
                <w:sz w:val="16"/>
                <w:szCs w:val="16"/>
              </w:rPr>
            </w:pPr>
            <w:r w:rsidRPr="00656F0B">
              <w:rPr>
                <w:rFonts w:asciiTheme="minorHAnsi" w:hAnsiTheme="minorHAnsi" w:cstheme="minorHAnsi"/>
                <w:b/>
                <w:bCs/>
                <w:color w:val="000000"/>
                <w:sz w:val="16"/>
                <w:szCs w:val="16"/>
              </w:rPr>
              <w:t xml:space="preserve">SERIES- XV =237.30 </w:t>
            </w:r>
            <w:proofErr w:type="spellStart"/>
            <w:r w:rsidRPr="00656F0B">
              <w:rPr>
                <w:rFonts w:asciiTheme="minorHAnsi" w:hAnsiTheme="minorHAnsi" w:cstheme="minorHAnsi"/>
                <w:b/>
                <w:bCs/>
                <w:color w:val="000000"/>
                <w:sz w:val="16"/>
                <w:szCs w:val="16"/>
              </w:rPr>
              <w:t>crore</w:t>
            </w:r>
            <w:proofErr w:type="spellEnd"/>
            <w:r w:rsidRPr="00656F0B">
              <w:rPr>
                <w:rFonts w:asciiTheme="minorHAnsi" w:hAnsiTheme="minorHAnsi" w:cstheme="minorHAnsi"/>
                <w:b/>
                <w:bCs/>
                <w:color w:val="000000"/>
                <w:sz w:val="16"/>
                <w:szCs w:val="16"/>
              </w:rPr>
              <w:t xml:space="preserve"> </w:t>
            </w:r>
          </w:p>
        </w:tc>
        <w:tc>
          <w:tcPr>
            <w:tcW w:w="3474" w:type="dxa"/>
            <w:shd w:val="clear" w:color="auto" w:fill="auto"/>
            <w:noWrap/>
            <w:vAlign w:val="center"/>
            <w:hideMark/>
          </w:tcPr>
          <w:p w:rsidR="00656F0B" w:rsidRPr="00656F0B" w:rsidRDefault="00656F0B" w:rsidP="00656F0B">
            <w:pPr>
              <w:spacing w:after="0" w:line="240" w:lineRule="auto"/>
              <w:rPr>
                <w:rFonts w:asciiTheme="minorHAnsi" w:hAnsiTheme="minorHAnsi" w:cstheme="minorHAnsi"/>
                <w:b/>
                <w:bCs/>
                <w:color w:val="000000"/>
                <w:sz w:val="16"/>
                <w:szCs w:val="16"/>
              </w:rPr>
            </w:pPr>
            <w:r w:rsidRPr="00656F0B">
              <w:rPr>
                <w:rFonts w:asciiTheme="minorHAnsi" w:hAnsiTheme="minorHAnsi" w:cstheme="minorHAnsi"/>
                <w:b/>
                <w:bCs/>
                <w:color w:val="000000"/>
                <w:sz w:val="16"/>
                <w:szCs w:val="16"/>
              </w:rPr>
              <w:t xml:space="preserve">SERIES- XVI =500 </w:t>
            </w:r>
            <w:proofErr w:type="spellStart"/>
            <w:r w:rsidRPr="00656F0B">
              <w:rPr>
                <w:rFonts w:asciiTheme="minorHAnsi" w:hAnsiTheme="minorHAnsi" w:cstheme="minorHAnsi"/>
                <w:b/>
                <w:bCs/>
                <w:color w:val="000000"/>
                <w:sz w:val="16"/>
                <w:szCs w:val="16"/>
              </w:rPr>
              <w:t>crore</w:t>
            </w:r>
            <w:proofErr w:type="spellEnd"/>
            <w:r w:rsidRPr="00656F0B">
              <w:rPr>
                <w:rFonts w:asciiTheme="minorHAnsi" w:hAnsiTheme="minorHAnsi" w:cstheme="minorHAnsi"/>
                <w:b/>
                <w:bCs/>
                <w:color w:val="000000"/>
                <w:sz w:val="16"/>
                <w:szCs w:val="16"/>
              </w:rPr>
              <w:t xml:space="preserve"> </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Issuer</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Punjab &amp; Sind Bank</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Punjab &amp; Sind Bank</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Punjab &amp; Sind Bank</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Punjab &amp; Sind Bank</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Punjab &amp; Sind Bank</w:t>
            </w:r>
          </w:p>
        </w:tc>
      </w:tr>
      <w:tr w:rsidR="00656F0B" w:rsidRPr="00656F0B" w:rsidTr="00656F0B">
        <w:trPr>
          <w:trHeight w:val="330"/>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Unique identifier (e.g. CUSIP, ISIN or Bloomberg identifier for private placement)</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INE608A09130</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INE608A08017</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INE608A08025</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INE608A08033</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INE608A08041</w:t>
            </w:r>
          </w:p>
        </w:tc>
      </w:tr>
      <w:tr w:rsidR="00656F0B" w:rsidRPr="00656F0B" w:rsidTr="00656F0B">
        <w:trPr>
          <w:trHeight w:val="330"/>
        </w:trPr>
        <w:tc>
          <w:tcPr>
            <w:tcW w:w="408" w:type="dxa"/>
            <w:shd w:val="clear" w:color="auto" w:fill="auto"/>
            <w:noWrap/>
            <w:vAlign w:val="center"/>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3</w:t>
            </w:r>
          </w:p>
        </w:tc>
        <w:tc>
          <w:tcPr>
            <w:tcW w:w="1572" w:type="dxa"/>
            <w:shd w:val="clear" w:color="auto" w:fill="auto"/>
            <w:noWrap/>
            <w:vAlign w:val="center"/>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Governing law(s) of the instrument</w:t>
            </w:r>
          </w:p>
        </w:tc>
        <w:tc>
          <w:tcPr>
            <w:tcW w:w="2249" w:type="dxa"/>
            <w:shd w:val="clear" w:color="auto" w:fill="auto"/>
            <w:noWrap/>
            <w:vAlign w:val="bottom"/>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proofErr w:type="spellStart"/>
            <w:r w:rsidRPr="00656F0B">
              <w:rPr>
                <w:rFonts w:asciiTheme="minorHAnsi" w:hAnsiTheme="minorHAnsi" w:cstheme="minorHAnsi"/>
                <w:color w:val="000000"/>
                <w:sz w:val="16"/>
                <w:szCs w:val="16"/>
                <w:lang w:val="en-IN" w:eastAsia="en-IN" w:bidi="hi-IN"/>
              </w:rPr>
              <w:t>Secuities</w:t>
            </w:r>
            <w:proofErr w:type="spellEnd"/>
            <w:r w:rsidRPr="00656F0B">
              <w:rPr>
                <w:rFonts w:asciiTheme="minorHAnsi" w:hAnsiTheme="minorHAnsi" w:cstheme="minorHAnsi"/>
                <w:color w:val="000000"/>
                <w:sz w:val="16"/>
                <w:szCs w:val="16"/>
                <w:lang w:val="en-IN" w:eastAsia="en-IN" w:bidi="hi-IN"/>
              </w:rPr>
              <w:t xml:space="preserve"> Contract Regulation Act 1956, Companies Act 1956, Banking companies( acquisition and transfer of undertakings ) act 1980, Depositories Act 1996, GOI, RBI, SEBI, Concerned Stock </w:t>
            </w:r>
            <w:proofErr w:type="spellStart"/>
            <w:r w:rsidRPr="00656F0B">
              <w:rPr>
                <w:rFonts w:asciiTheme="minorHAnsi" w:hAnsiTheme="minorHAnsi" w:cstheme="minorHAnsi"/>
                <w:color w:val="000000"/>
                <w:sz w:val="16"/>
                <w:szCs w:val="16"/>
                <w:lang w:val="en-IN" w:eastAsia="en-IN" w:bidi="hi-IN"/>
              </w:rPr>
              <w:t>Exchanges.provisions</w:t>
            </w:r>
            <w:proofErr w:type="spellEnd"/>
            <w:r w:rsidRPr="00656F0B">
              <w:rPr>
                <w:rFonts w:asciiTheme="minorHAnsi" w:hAnsiTheme="minorHAnsi" w:cstheme="minorHAnsi"/>
                <w:color w:val="000000"/>
                <w:sz w:val="16"/>
                <w:szCs w:val="16"/>
                <w:lang w:val="en-IN" w:eastAsia="en-IN" w:bidi="hi-IN"/>
              </w:rPr>
              <w:t xml:space="preserve"> contained in annexure C and/or annexure D to the companies ( Central Government's ) General rules and forms 1956. </w:t>
            </w:r>
          </w:p>
        </w:tc>
        <w:tc>
          <w:tcPr>
            <w:tcW w:w="2160" w:type="dxa"/>
            <w:shd w:val="clear" w:color="auto" w:fill="auto"/>
            <w:noWrap/>
            <w:vAlign w:val="bottom"/>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SECURITIES AND EXCHANGE BOARD OF INDIA (ISSUE AND LISTING OF DEBT SECURITIES) REGULATIONS, 2008 ISSUED VIDE CIRCULAR NO. LAD-NRO/GN/2008/13/127878 DATED JUNE 06, 2008, AS AMENDED AND SECURITIES AND EXCHANGE BOARD OF INDIA (ISSUE AND LISTING OF DEBT SECURITIES) (AMENDMENT) REGULATIONS, 2012 ISSUED VIDE CIRCULAR NO. LAD-NRO/GN/2012-13/19/5392 DATED OCTOBER 12, 2012, AS AMENDED AND SECURITIES AND EXCHANGE BOARD OF INDIA (ISSUE AND LISTING OF DEBT SECURITIES) (AMENDMENT) REGULATIONS, 2014 ISSUED VIDE CIRCULAR NO. LAD-NRO/GN/2013-14/43/207 DATED JANUARY 31, 2014, AS AMENDED</w:t>
            </w:r>
          </w:p>
        </w:tc>
        <w:tc>
          <w:tcPr>
            <w:tcW w:w="2509" w:type="dxa"/>
            <w:shd w:val="clear" w:color="auto" w:fill="auto"/>
            <w:noWrap/>
            <w:vAlign w:val="bottom"/>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SECURITIES AND EXCHANGE BOARD OF INDIA (ISSUE AND LISTING OF DEBT SECURITIES) REGULATIONS, 2008 ISSUED VIDE CIRCULAR NO. LAD-NRO/GN/2008/13/127878 DATED JUNE 06, 2008, AS AMENDED BY SECURITIES AND EXCHANGE BOARD OF INDIA (ISSUE AND LISTING OF DEBT SECURITIES) (AMENDMENT) REGULATIONS, 2012 ISSUED VIDE CIRCULAR NO. LAD-NRO/GN/2012-13/19/5392 DATED OCTOBER 12, 2012 AND CIR/IMD/DF/18/2013 DATED OCTOBER 29, 2013) AND THE SECURITIES AND EXCHANGE BOARD OF INDIA (ISSUE AND LISTING OF DEBT SECURITIES) (AMENDMENT) REGULATIONS, 2014 ISSUED VIDE CIRCULAR NO. LAD-NRO/GN/2013-14/43/207 DATED JANUARY 31, 2014 AS AMENDED SECURITIES AND EXCHANGE BOARD OF INDIA (ISSUE AND LISTING OF DEBT SECURITIES) (AMENDMENT) REGULATIONS, 2015 ISSUED VIDE CIRCULAR NO. LAD-NRO/GN/2014-15/25/539 DATED MARCH 24, 2015 AND RBI CIRCULAR NO.RBI/2015-16/58 DBR.No.BP.BC.1/21.06.201/2015-16 DATED 01.07.2015, NOTIFICATION NO. RBI/2015-16/285 DBR.NO.BP.BC.71/21.06.201/2015-16 DATED 14.01.2016, RBI/2015-</w:t>
            </w:r>
            <w:r w:rsidRPr="00656F0B">
              <w:rPr>
                <w:rFonts w:asciiTheme="minorHAnsi" w:hAnsiTheme="minorHAnsi" w:cstheme="minorHAnsi"/>
                <w:color w:val="000000"/>
                <w:sz w:val="16"/>
                <w:szCs w:val="16"/>
                <w:lang w:val="en-IN" w:eastAsia="en-IN" w:bidi="hi-IN"/>
              </w:rPr>
              <w:lastRenderedPageBreak/>
              <w:t>16/331 DBR.NO.BP.BC.83/21.06.201/2015-16 DATED 01.03.2016 AND NOTIFICATION NO. DBR.BP.BC.NO.50/21.06.201/2016-17 DATED 02.02.2017.</w:t>
            </w:r>
          </w:p>
        </w:tc>
        <w:tc>
          <w:tcPr>
            <w:tcW w:w="1937" w:type="dxa"/>
            <w:shd w:val="clear" w:color="auto" w:fill="auto"/>
            <w:noWrap/>
            <w:vAlign w:val="bottom"/>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lastRenderedPageBreak/>
              <w:t>SECURITIES AND EXCHANGE BOARD OF INDIA (ISSUE AND LISTING OF DEBT SECURITIES) REGULATIONS, 2008 ISSUED VIDE CIRCULAR NO. LAD-NRO/GN/2008/13/127878 DATED JUNE 06, 2008, AS AMENDED AND SECURITIES AND EXCHANGE BOARD OF INDIA (ISSUE AND LISTING OF DEBT SECURITIES) (AMENDMENT) REGULATIONS, 2012 ISSUED VIDE CIRCULAR NO. LAD-NRO/GN/2012-13/19/5392 DATED OCTOBER 12, 2012, AS AMENDED AND SECURITIES AND EXCHANGE BOARD OF INDIA (ISSUE AND LISTING OF DEBT SECURITIES) (AMENDMENT) REGULATIONS, 2014 ISSUED VIDE CIRCULAR NO. LAD-NRO/GN/2013-14/43/207 DATED JANUARY 31, 2014, AS AMENDED</w:t>
            </w:r>
          </w:p>
        </w:tc>
        <w:tc>
          <w:tcPr>
            <w:tcW w:w="3474" w:type="dxa"/>
            <w:shd w:val="clear" w:color="auto" w:fill="auto"/>
            <w:noWrap/>
            <w:vAlign w:val="bottom"/>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SECURITIES AND EXCHANGE BOARD OF INDIA (ISSUE AND LISTING OF DEBT SECURITIES) REGULATIONS, 2008 ISSUED VIDE CIRCULAR NO. LAD-NRO/GN/2008/13/127878 DATED JUNE 06, 2008, AS AMENDED AND SECURITIES AND EXCHANGE BOARD OF INDIA (ISSUE AND LISTING OF DEBT SECURITIES) (AMENDMENT) REGULATIONS, 2012 ISSUED VIDE CIRCULAR NO. LAD-NRO/GN/2012-13/19/5392 DATED OCTOBER 12, 2012, AS AMENDED AND SECURITIES AND EXCHANGE BOARD OF INDIA (ISSUE AND LISTING OF DEBT SECURITIES) (AMENDMENT) REGULATIONS, 2014 ISSUED VIDE CIRCULAR NO. LAD-NRO/GN/2013-14/43/207 DATED JANUARY 31, 2014, AS AMENDED</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lastRenderedPageBreak/>
              <w:t> </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b/>
                <w:color w:val="000000"/>
                <w:sz w:val="16"/>
                <w:szCs w:val="16"/>
                <w:lang w:val="en-IN" w:eastAsia="en-IN" w:bidi="hi-IN"/>
              </w:rPr>
            </w:pPr>
            <w:r w:rsidRPr="00656F0B">
              <w:rPr>
                <w:rFonts w:asciiTheme="minorHAnsi" w:hAnsiTheme="minorHAnsi" w:cstheme="minorHAnsi"/>
                <w:b/>
                <w:color w:val="000000"/>
                <w:sz w:val="16"/>
                <w:szCs w:val="16"/>
                <w:lang w:val="en-IN" w:eastAsia="en-IN" w:bidi="hi-IN"/>
              </w:rPr>
              <w:t>Regulatory treatment</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 </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 </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 </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b/>
                <w:bCs/>
                <w:color w:val="000000"/>
                <w:sz w:val="16"/>
                <w:szCs w:val="16"/>
              </w:rPr>
            </w:pPr>
            <w:r w:rsidRPr="00656F0B">
              <w:rPr>
                <w:rFonts w:asciiTheme="minorHAnsi" w:hAnsiTheme="minorHAnsi" w:cstheme="minorHAnsi"/>
                <w:b/>
                <w:bCs/>
                <w:color w:val="000000"/>
                <w:sz w:val="16"/>
                <w:szCs w:val="16"/>
              </w:rPr>
              <w:t> </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b/>
                <w:bCs/>
                <w:color w:val="000000"/>
                <w:sz w:val="16"/>
                <w:szCs w:val="16"/>
              </w:rPr>
            </w:pPr>
            <w:r w:rsidRPr="00656F0B">
              <w:rPr>
                <w:rFonts w:asciiTheme="minorHAnsi" w:hAnsiTheme="minorHAnsi" w:cstheme="minorHAnsi"/>
                <w:b/>
                <w:bCs/>
                <w:color w:val="000000"/>
                <w:sz w:val="16"/>
                <w:szCs w:val="16"/>
              </w:rPr>
              <w:t> </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4</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Transitional Basel III rules</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Tier II</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Tier II</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Tier I</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Tier II</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Tier II</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5</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Post-transitional Basel III rules</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Tier II</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Tier II</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Tier I</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Tier II</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Tier II</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6</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Eligible at solo/group/ group &amp; solo</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Solo</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Solo</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Solo</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Solo</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Solo</w:t>
            </w:r>
          </w:p>
        </w:tc>
      </w:tr>
      <w:tr w:rsidR="00656F0B" w:rsidRPr="00656F0B" w:rsidTr="00656F0B">
        <w:trPr>
          <w:trHeight w:val="930"/>
        </w:trPr>
        <w:tc>
          <w:tcPr>
            <w:tcW w:w="408" w:type="dxa"/>
            <w:shd w:val="clear" w:color="auto" w:fill="auto"/>
            <w:noWrap/>
            <w:vAlign w:val="center"/>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7</w:t>
            </w:r>
          </w:p>
        </w:tc>
        <w:tc>
          <w:tcPr>
            <w:tcW w:w="1572" w:type="dxa"/>
            <w:shd w:val="clear" w:color="auto" w:fill="auto"/>
            <w:noWrap/>
            <w:vAlign w:val="center"/>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Instrument type</w:t>
            </w:r>
          </w:p>
        </w:tc>
        <w:tc>
          <w:tcPr>
            <w:tcW w:w="2249" w:type="dxa"/>
            <w:shd w:val="clear" w:color="auto" w:fill="auto"/>
            <w:noWrap/>
            <w:vAlign w:val="center"/>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Tier II debt instruments</w:t>
            </w:r>
          </w:p>
        </w:tc>
        <w:tc>
          <w:tcPr>
            <w:tcW w:w="2160" w:type="dxa"/>
            <w:shd w:val="clear" w:color="auto" w:fill="auto"/>
            <w:noWrap/>
            <w:vAlign w:val="center"/>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Tier II debt instruments</w:t>
            </w:r>
          </w:p>
        </w:tc>
        <w:tc>
          <w:tcPr>
            <w:tcW w:w="2509" w:type="dxa"/>
            <w:shd w:val="clear" w:color="auto" w:fill="auto"/>
            <w:noWrap/>
            <w:vAlign w:val="center"/>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Tier I instrument</w:t>
            </w:r>
          </w:p>
        </w:tc>
        <w:tc>
          <w:tcPr>
            <w:tcW w:w="1937" w:type="dxa"/>
            <w:shd w:val="clear" w:color="auto" w:fill="auto"/>
            <w:noWrap/>
            <w:vAlign w:val="center"/>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Tier II debt instruments</w:t>
            </w:r>
          </w:p>
        </w:tc>
        <w:tc>
          <w:tcPr>
            <w:tcW w:w="3474" w:type="dxa"/>
            <w:shd w:val="clear" w:color="auto" w:fill="auto"/>
            <w:noWrap/>
            <w:vAlign w:val="center"/>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Tier II debt instruments</w:t>
            </w:r>
          </w:p>
        </w:tc>
      </w:tr>
      <w:tr w:rsidR="000E18BD" w:rsidRPr="00656F0B" w:rsidTr="00656F0B">
        <w:trPr>
          <w:trHeight w:val="630"/>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8</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Amount recognised in regulatory capital (</w:t>
            </w:r>
            <w:proofErr w:type="spellStart"/>
            <w:r w:rsidRPr="00656F0B">
              <w:rPr>
                <w:rFonts w:asciiTheme="minorHAnsi" w:hAnsiTheme="minorHAnsi" w:cstheme="minorHAnsi"/>
                <w:color w:val="000000"/>
                <w:sz w:val="16"/>
                <w:szCs w:val="16"/>
                <w:lang w:val="en-IN" w:eastAsia="en-IN" w:bidi="hi-IN"/>
              </w:rPr>
              <w:t>Rs</w:t>
            </w:r>
            <w:proofErr w:type="spellEnd"/>
            <w:r w:rsidRPr="00656F0B">
              <w:rPr>
                <w:rFonts w:asciiTheme="minorHAnsi" w:hAnsiTheme="minorHAnsi" w:cstheme="minorHAnsi"/>
                <w:color w:val="000000"/>
                <w:sz w:val="16"/>
                <w:szCs w:val="16"/>
                <w:lang w:val="en-IN" w:eastAsia="en-IN" w:bidi="hi-IN"/>
              </w:rPr>
              <w:t>. in million, as of most recent reporting date)</w:t>
            </w:r>
          </w:p>
        </w:tc>
        <w:tc>
          <w:tcPr>
            <w:tcW w:w="2249"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12</w:t>
            </w:r>
          </w:p>
        </w:tc>
        <w:tc>
          <w:tcPr>
            <w:tcW w:w="2160"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500</w:t>
            </w:r>
          </w:p>
        </w:tc>
        <w:tc>
          <w:tcPr>
            <w:tcW w:w="2509"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1000</w:t>
            </w:r>
          </w:p>
        </w:tc>
        <w:tc>
          <w:tcPr>
            <w:tcW w:w="1937"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237.3</w:t>
            </w:r>
          </w:p>
        </w:tc>
        <w:tc>
          <w:tcPr>
            <w:tcW w:w="3474"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500</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9</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Par value of instrument</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proofErr w:type="spellStart"/>
            <w:r w:rsidRPr="00656F0B">
              <w:rPr>
                <w:rFonts w:asciiTheme="minorHAnsi" w:hAnsiTheme="minorHAnsi" w:cstheme="minorHAnsi"/>
                <w:color w:val="000000"/>
                <w:sz w:val="16"/>
                <w:szCs w:val="16"/>
                <w:lang w:val="en-IN" w:eastAsia="en-IN" w:bidi="hi-IN"/>
              </w:rPr>
              <w:t>Rs</w:t>
            </w:r>
            <w:proofErr w:type="spellEnd"/>
            <w:r w:rsidRPr="00656F0B">
              <w:rPr>
                <w:rFonts w:asciiTheme="minorHAnsi" w:hAnsiTheme="minorHAnsi" w:cstheme="minorHAnsi"/>
                <w:color w:val="000000"/>
                <w:sz w:val="16"/>
                <w:szCs w:val="16"/>
                <w:lang w:val="en-IN" w:eastAsia="en-IN" w:bidi="hi-IN"/>
              </w:rPr>
              <w:t>. 1000000</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proofErr w:type="spellStart"/>
            <w:r w:rsidRPr="00656F0B">
              <w:rPr>
                <w:rFonts w:asciiTheme="minorHAnsi" w:hAnsiTheme="minorHAnsi" w:cstheme="minorHAnsi"/>
                <w:color w:val="000000"/>
                <w:sz w:val="16"/>
                <w:szCs w:val="16"/>
                <w:lang w:val="en-IN" w:eastAsia="en-IN" w:bidi="hi-IN"/>
              </w:rPr>
              <w:t>Rs</w:t>
            </w:r>
            <w:proofErr w:type="spellEnd"/>
            <w:r w:rsidRPr="00656F0B">
              <w:rPr>
                <w:rFonts w:asciiTheme="minorHAnsi" w:hAnsiTheme="minorHAnsi" w:cstheme="minorHAnsi"/>
                <w:color w:val="000000"/>
                <w:sz w:val="16"/>
                <w:szCs w:val="16"/>
                <w:lang w:val="en-IN" w:eastAsia="en-IN" w:bidi="hi-IN"/>
              </w:rPr>
              <w:t>. 1000000</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proofErr w:type="spellStart"/>
            <w:r w:rsidRPr="00656F0B">
              <w:rPr>
                <w:rFonts w:asciiTheme="minorHAnsi" w:hAnsiTheme="minorHAnsi" w:cstheme="minorHAnsi"/>
                <w:color w:val="000000"/>
                <w:sz w:val="16"/>
                <w:szCs w:val="16"/>
                <w:lang w:val="en-IN" w:eastAsia="en-IN" w:bidi="hi-IN"/>
              </w:rPr>
              <w:t>Rs</w:t>
            </w:r>
            <w:proofErr w:type="spellEnd"/>
            <w:r w:rsidRPr="00656F0B">
              <w:rPr>
                <w:rFonts w:asciiTheme="minorHAnsi" w:hAnsiTheme="minorHAnsi" w:cstheme="minorHAnsi"/>
                <w:color w:val="000000"/>
                <w:sz w:val="16"/>
                <w:szCs w:val="16"/>
                <w:lang w:val="en-IN" w:eastAsia="en-IN" w:bidi="hi-IN"/>
              </w:rPr>
              <w:t>. 1000000</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proofErr w:type="spellStart"/>
            <w:r w:rsidRPr="00656F0B">
              <w:rPr>
                <w:rFonts w:asciiTheme="minorHAnsi" w:hAnsiTheme="minorHAnsi" w:cstheme="minorHAnsi"/>
                <w:color w:val="000000"/>
                <w:sz w:val="16"/>
                <w:szCs w:val="16"/>
              </w:rPr>
              <w:t>Rs</w:t>
            </w:r>
            <w:proofErr w:type="spellEnd"/>
            <w:r w:rsidRPr="00656F0B">
              <w:rPr>
                <w:rFonts w:asciiTheme="minorHAnsi" w:hAnsiTheme="minorHAnsi" w:cstheme="minorHAnsi"/>
                <w:color w:val="000000"/>
                <w:sz w:val="16"/>
                <w:szCs w:val="16"/>
              </w:rPr>
              <w:t>. 1000000</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proofErr w:type="spellStart"/>
            <w:r w:rsidRPr="00656F0B">
              <w:rPr>
                <w:rFonts w:asciiTheme="minorHAnsi" w:hAnsiTheme="minorHAnsi" w:cstheme="minorHAnsi"/>
                <w:color w:val="000000"/>
                <w:sz w:val="16"/>
                <w:szCs w:val="16"/>
              </w:rPr>
              <w:t>Rs</w:t>
            </w:r>
            <w:proofErr w:type="spellEnd"/>
            <w:r w:rsidRPr="00656F0B">
              <w:rPr>
                <w:rFonts w:asciiTheme="minorHAnsi" w:hAnsiTheme="minorHAnsi" w:cstheme="minorHAnsi"/>
                <w:color w:val="000000"/>
                <w:sz w:val="16"/>
                <w:szCs w:val="16"/>
              </w:rPr>
              <w:t>. 1000000</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10</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Accounting classification</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Liability (Borrowing)</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Liability (Borrowing)</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Liability (Borrowing)</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Liability (Borrowing)</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Liability (Borrowing)</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11</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Original date of issuance</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24.06.2011</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19.10.2016</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08.05.2017</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27.06.2019</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04.11.2019</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12</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Perpetual or dated</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Dated</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Dated</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Perpetual</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Dated</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Dated</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13</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Original maturity date</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24.10.2021</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19.10.2026</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NA</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26.10.2029</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03.12.2029</w:t>
            </w:r>
          </w:p>
        </w:tc>
      </w:tr>
      <w:tr w:rsidR="000E18BD" w:rsidRPr="00656F0B" w:rsidTr="00656F0B">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14</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Issuer call subject to prior supervisory approval</w:t>
            </w:r>
          </w:p>
        </w:tc>
        <w:tc>
          <w:tcPr>
            <w:tcW w:w="2249" w:type="dxa"/>
            <w:shd w:val="clear" w:color="auto" w:fill="auto"/>
            <w:noWrap/>
            <w:vAlign w:val="bottom"/>
            <w:hideMark/>
          </w:tcPr>
          <w:p w:rsidR="000E18BD" w:rsidRPr="000E18BD" w:rsidRDefault="000E18BD" w:rsidP="000E18BD">
            <w:pPr>
              <w:spacing w:after="0" w:line="240" w:lineRule="auto"/>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Yes</w:t>
            </w:r>
          </w:p>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p>
        </w:tc>
        <w:tc>
          <w:tcPr>
            <w:tcW w:w="2160"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No</w:t>
            </w:r>
          </w:p>
        </w:tc>
        <w:tc>
          <w:tcPr>
            <w:tcW w:w="2509"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 xml:space="preserve">Yes - The call option on the instrument is permissible after the instrument has run for at least five years subject to prior RBI </w:t>
            </w:r>
            <w:proofErr w:type="spellStart"/>
            <w:r w:rsidRPr="00977668">
              <w:rPr>
                <w:rFonts w:asciiTheme="minorHAnsi" w:hAnsiTheme="minorHAnsi" w:cstheme="minorHAnsi"/>
                <w:color w:val="000000"/>
                <w:sz w:val="16"/>
                <w:szCs w:val="16"/>
                <w:lang w:val="en-IN" w:eastAsia="en-IN" w:bidi="hi-IN"/>
              </w:rPr>
              <w:t>approval.The</w:t>
            </w:r>
            <w:proofErr w:type="spellEnd"/>
            <w:r w:rsidRPr="00977668">
              <w:rPr>
                <w:rFonts w:asciiTheme="minorHAnsi" w:hAnsiTheme="minorHAnsi" w:cstheme="minorHAnsi"/>
                <w:color w:val="000000"/>
                <w:sz w:val="16"/>
                <w:szCs w:val="16"/>
                <w:lang w:val="en-IN" w:eastAsia="en-IN" w:bidi="hi-IN"/>
              </w:rPr>
              <w:t xml:space="preserve"> call option on the instrument is permissible after the instrument has run for at least five years</w:t>
            </w:r>
          </w:p>
        </w:tc>
        <w:tc>
          <w:tcPr>
            <w:tcW w:w="1937"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No</w:t>
            </w:r>
          </w:p>
        </w:tc>
        <w:tc>
          <w:tcPr>
            <w:tcW w:w="3474"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No</w:t>
            </w:r>
          </w:p>
        </w:tc>
      </w:tr>
      <w:tr w:rsidR="00656F0B" w:rsidRPr="00656F0B" w:rsidTr="00656F0B">
        <w:trPr>
          <w:trHeight w:val="780"/>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lastRenderedPageBreak/>
              <w:t>15</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Optional call date, contingent call dates and redemption amount</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NA</w:t>
            </w:r>
          </w:p>
        </w:tc>
        <w:tc>
          <w:tcPr>
            <w:tcW w:w="2509" w:type="dxa"/>
            <w:shd w:val="clear" w:color="auto" w:fill="auto"/>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The call option on the instrument is permissible after the instrument has run for at least five years</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NA</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NA</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16</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Subsequent call dates, if applicable</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NA</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Every coupon date thereafter</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NA</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NA</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 </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b/>
                <w:color w:val="000000"/>
                <w:sz w:val="16"/>
                <w:szCs w:val="16"/>
                <w:lang w:val="en-IN" w:eastAsia="en-IN" w:bidi="hi-IN"/>
              </w:rPr>
            </w:pPr>
            <w:r>
              <w:rPr>
                <w:rFonts w:asciiTheme="minorHAnsi" w:hAnsiTheme="minorHAnsi" w:cstheme="minorHAnsi"/>
                <w:b/>
                <w:color w:val="000000"/>
                <w:sz w:val="16"/>
                <w:szCs w:val="16"/>
                <w:lang w:val="en-IN" w:eastAsia="en-IN" w:bidi="hi-IN"/>
              </w:rPr>
              <w:t>Coupons</w:t>
            </w:r>
            <w:r w:rsidRPr="00656F0B">
              <w:rPr>
                <w:rFonts w:asciiTheme="minorHAnsi" w:hAnsiTheme="minorHAnsi" w:cstheme="minorHAnsi"/>
                <w:b/>
                <w:color w:val="000000"/>
                <w:sz w:val="16"/>
                <w:szCs w:val="16"/>
                <w:lang w:val="en-IN" w:eastAsia="en-IN" w:bidi="hi-IN"/>
              </w:rPr>
              <w:t>/ dividends</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 </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 </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 </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b/>
                <w:bCs/>
                <w:color w:val="000000"/>
                <w:sz w:val="16"/>
                <w:szCs w:val="16"/>
              </w:rPr>
            </w:pPr>
            <w:r w:rsidRPr="00656F0B">
              <w:rPr>
                <w:rFonts w:asciiTheme="minorHAnsi" w:hAnsiTheme="minorHAnsi" w:cstheme="minorHAnsi"/>
                <w:b/>
                <w:bCs/>
                <w:color w:val="000000"/>
                <w:sz w:val="16"/>
                <w:szCs w:val="16"/>
              </w:rPr>
              <w:t> </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b/>
                <w:bCs/>
                <w:color w:val="000000"/>
                <w:sz w:val="16"/>
                <w:szCs w:val="16"/>
              </w:rPr>
            </w:pPr>
            <w:r w:rsidRPr="00656F0B">
              <w:rPr>
                <w:rFonts w:asciiTheme="minorHAnsi" w:hAnsiTheme="minorHAnsi" w:cstheme="minorHAnsi"/>
                <w:b/>
                <w:bCs/>
                <w:color w:val="000000"/>
                <w:sz w:val="16"/>
                <w:szCs w:val="16"/>
              </w:rPr>
              <w:t> </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17</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Fixed or floating dividend/coupon</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Fixed</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Fixed</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Fixed</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Fixed</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Fixed</w:t>
            </w:r>
          </w:p>
        </w:tc>
      </w:tr>
      <w:tr w:rsidR="00656F0B" w:rsidRPr="00656F0B" w:rsidTr="00656F0B">
        <w:trPr>
          <w:trHeight w:val="315"/>
        </w:trPr>
        <w:tc>
          <w:tcPr>
            <w:tcW w:w="408"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18</w:t>
            </w:r>
          </w:p>
        </w:tc>
        <w:tc>
          <w:tcPr>
            <w:tcW w:w="1572"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Coupon rate and any related index</w:t>
            </w:r>
          </w:p>
        </w:tc>
        <w:tc>
          <w:tcPr>
            <w:tcW w:w="224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9.73%</w:t>
            </w:r>
          </w:p>
        </w:tc>
        <w:tc>
          <w:tcPr>
            <w:tcW w:w="2160"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7.99%</w:t>
            </w:r>
          </w:p>
        </w:tc>
        <w:tc>
          <w:tcPr>
            <w:tcW w:w="2509" w:type="dxa"/>
            <w:shd w:val="clear" w:color="auto" w:fill="auto"/>
            <w:noWrap/>
            <w:vAlign w:val="bottom"/>
            <w:hideMark/>
          </w:tcPr>
          <w:p w:rsidR="00656F0B" w:rsidRPr="00656F0B" w:rsidRDefault="00656F0B" w:rsidP="00656F0B">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10.90%</w:t>
            </w:r>
          </w:p>
        </w:tc>
        <w:tc>
          <w:tcPr>
            <w:tcW w:w="1937"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9.50%</w:t>
            </w:r>
          </w:p>
        </w:tc>
        <w:tc>
          <w:tcPr>
            <w:tcW w:w="3474" w:type="dxa"/>
            <w:shd w:val="clear" w:color="auto" w:fill="auto"/>
            <w:noWrap/>
            <w:vAlign w:val="bottom"/>
            <w:hideMark/>
          </w:tcPr>
          <w:p w:rsidR="00656F0B" w:rsidRPr="00656F0B" w:rsidRDefault="00656F0B" w:rsidP="00656F0B">
            <w:pPr>
              <w:spacing w:after="0" w:line="240" w:lineRule="auto"/>
              <w:rPr>
                <w:rFonts w:asciiTheme="minorHAnsi" w:hAnsiTheme="minorHAnsi" w:cstheme="minorHAnsi"/>
                <w:color w:val="000000"/>
                <w:sz w:val="16"/>
                <w:szCs w:val="16"/>
              </w:rPr>
            </w:pPr>
            <w:r w:rsidRPr="00656F0B">
              <w:rPr>
                <w:rFonts w:asciiTheme="minorHAnsi" w:hAnsiTheme="minorHAnsi" w:cstheme="minorHAnsi"/>
                <w:color w:val="000000"/>
                <w:sz w:val="16"/>
                <w:szCs w:val="16"/>
              </w:rPr>
              <w:t>8.67%</w:t>
            </w:r>
          </w:p>
        </w:tc>
      </w:tr>
      <w:tr w:rsidR="000E18BD" w:rsidRPr="00656F0B" w:rsidTr="00656F0B">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19</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Existence of a dividend stopper</w:t>
            </w:r>
          </w:p>
        </w:tc>
        <w:tc>
          <w:tcPr>
            <w:tcW w:w="224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w:t>
            </w:r>
          </w:p>
        </w:tc>
        <w:tc>
          <w:tcPr>
            <w:tcW w:w="2160"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No</w:t>
            </w:r>
          </w:p>
        </w:tc>
        <w:tc>
          <w:tcPr>
            <w:tcW w:w="2509"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Yes</w:t>
            </w:r>
          </w:p>
        </w:tc>
        <w:tc>
          <w:tcPr>
            <w:tcW w:w="1937"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No</w:t>
            </w:r>
          </w:p>
        </w:tc>
        <w:tc>
          <w:tcPr>
            <w:tcW w:w="3474"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No</w:t>
            </w:r>
          </w:p>
        </w:tc>
      </w:tr>
      <w:tr w:rsidR="000E18BD" w:rsidRPr="00656F0B" w:rsidTr="00656F0B">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20</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Fully discretionary, partially discretionary or mandatory</w:t>
            </w:r>
          </w:p>
        </w:tc>
        <w:tc>
          <w:tcPr>
            <w:tcW w:w="224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Mandatory</w:t>
            </w:r>
          </w:p>
        </w:tc>
        <w:tc>
          <w:tcPr>
            <w:tcW w:w="2160"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Mandatory</w:t>
            </w:r>
          </w:p>
        </w:tc>
        <w:tc>
          <w:tcPr>
            <w:tcW w:w="2509"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Fully Discretionary</w:t>
            </w:r>
          </w:p>
        </w:tc>
        <w:tc>
          <w:tcPr>
            <w:tcW w:w="1937"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Mandatory</w:t>
            </w:r>
          </w:p>
        </w:tc>
        <w:tc>
          <w:tcPr>
            <w:tcW w:w="3474" w:type="dxa"/>
            <w:shd w:val="clear" w:color="auto" w:fill="auto"/>
            <w:noWrap/>
            <w:vAlign w:val="bottom"/>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Mandatory</w:t>
            </w:r>
          </w:p>
        </w:tc>
      </w:tr>
      <w:tr w:rsidR="000E18BD" w:rsidRPr="00656F0B" w:rsidTr="00656F0B">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21</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Existence of step up or other incentive to redeem</w:t>
            </w:r>
          </w:p>
        </w:tc>
        <w:tc>
          <w:tcPr>
            <w:tcW w:w="224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w:t>
            </w:r>
          </w:p>
        </w:tc>
        <w:tc>
          <w:tcPr>
            <w:tcW w:w="2160"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w:t>
            </w:r>
          </w:p>
        </w:tc>
        <w:tc>
          <w:tcPr>
            <w:tcW w:w="250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w:t>
            </w:r>
          </w:p>
        </w:tc>
        <w:tc>
          <w:tcPr>
            <w:tcW w:w="1937"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w:t>
            </w:r>
          </w:p>
        </w:tc>
        <w:tc>
          <w:tcPr>
            <w:tcW w:w="3474"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w:t>
            </w:r>
          </w:p>
        </w:tc>
      </w:tr>
      <w:tr w:rsidR="000E18BD" w:rsidRPr="00656F0B" w:rsidTr="00656F0B">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22</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Noncumulative or cumulative</w:t>
            </w:r>
          </w:p>
        </w:tc>
        <w:tc>
          <w:tcPr>
            <w:tcW w:w="224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Noncumulative</w:t>
            </w:r>
          </w:p>
        </w:tc>
        <w:tc>
          <w:tcPr>
            <w:tcW w:w="2160"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Noncumulative</w:t>
            </w:r>
          </w:p>
        </w:tc>
        <w:tc>
          <w:tcPr>
            <w:tcW w:w="250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Noncumulative</w:t>
            </w:r>
          </w:p>
        </w:tc>
        <w:tc>
          <w:tcPr>
            <w:tcW w:w="1937"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Noncumulative</w:t>
            </w:r>
          </w:p>
        </w:tc>
        <w:tc>
          <w:tcPr>
            <w:tcW w:w="3474"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Noncumulative</w:t>
            </w:r>
          </w:p>
        </w:tc>
      </w:tr>
      <w:tr w:rsidR="000E18BD" w:rsidRPr="00656F0B" w:rsidTr="00656F0B">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23</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Convertible or non-convertible</w:t>
            </w:r>
          </w:p>
        </w:tc>
        <w:tc>
          <w:tcPr>
            <w:tcW w:w="224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Nonconvertible</w:t>
            </w:r>
          </w:p>
        </w:tc>
        <w:tc>
          <w:tcPr>
            <w:tcW w:w="2160"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Nonconvertible</w:t>
            </w:r>
          </w:p>
        </w:tc>
        <w:tc>
          <w:tcPr>
            <w:tcW w:w="2509" w:type="dxa"/>
            <w:shd w:val="clear" w:color="auto" w:fill="auto"/>
            <w:noWrap/>
            <w:vAlign w:val="bottom"/>
            <w:hideMark/>
          </w:tcPr>
          <w:p w:rsidR="000E18BD" w:rsidRPr="003C0485" w:rsidRDefault="000E18BD" w:rsidP="000E18BD">
            <w:pPr>
              <w:spacing w:after="0" w:line="240" w:lineRule="auto"/>
              <w:rPr>
                <w:rFonts w:asciiTheme="minorHAnsi" w:hAnsiTheme="minorHAnsi" w:cstheme="minorHAnsi"/>
                <w:color w:val="000000"/>
                <w:sz w:val="16"/>
                <w:szCs w:val="16"/>
                <w:lang w:val="en-IN" w:eastAsia="en-IN" w:bidi="hi-IN"/>
              </w:rPr>
            </w:pPr>
            <w:r w:rsidRPr="003C0485">
              <w:rPr>
                <w:rFonts w:asciiTheme="minorHAnsi" w:hAnsiTheme="minorHAnsi" w:cstheme="minorHAnsi"/>
                <w:color w:val="000000"/>
                <w:sz w:val="16"/>
                <w:szCs w:val="16"/>
                <w:lang w:eastAsia="en-IN" w:bidi="hi-IN"/>
              </w:rPr>
              <w:t>Nonconvertible</w:t>
            </w:r>
          </w:p>
        </w:tc>
        <w:tc>
          <w:tcPr>
            <w:tcW w:w="1937"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Nonconvertible</w:t>
            </w:r>
          </w:p>
        </w:tc>
        <w:tc>
          <w:tcPr>
            <w:tcW w:w="3474"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Nonconvertible</w:t>
            </w:r>
          </w:p>
        </w:tc>
      </w:tr>
      <w:tr w:rsidR="000E18BD" w:rsidRPr="00656F0B" w:rsidTr="0011088C">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24</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If convertible, conversion trigger(s)</w:t>
            </w:r>
          </w:p>
        </w:tc>
        <w:tc>
          <w:tcPr>
            <w:tcW w:w="224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509" w:type="dxa"/>
            <w:shd w:val="clear" w:color="auto" w:fill="auto"/>
            <w:noWrap/>
            <w:vAlign w:val="center"/>
            <w:hideMark/>
          </w:tcPr>
          <w:p w:rsidR="000E18BD" w:rsidRPr="003C0485" w:rsidRDefault="000E18BD" w:rsidP="000E18BD">
            <w:pPr>
              <w:spacing w:after="0" w:line="240" w:lineRule="auto"/>
              <w:rPr>
                <w:rFonts w:asciiTheme="minorHAnsi" w:hAnsiTheme="minorHAnsi" w:cstheme="minorHAnsi"/>
                <w:color w:val="000000"/>
                <w:sz w:val="16"/>
                <w:szCs w:val="16"/>
                <w:lang w:val="en-IN" w:eastAsia="en-IN" w:bidi="hi-IN"/>
              </w:rPr>
            </w:pPr>
            <w:r w:rsidRPr="003C0485">
              <w:rPr>
                <w:rFonts w:asciiTheme="minorHAnsi" w:hAnsiTheme="minorHAnsi" w:cstheme="minorHAnsi"/>
                <w:color w:val="000000"/>
                <w:sz w:val="16"/>
                <w:szCs w:val="16"/>
                <w:lang w:val="en-IN" w:eastAsia="en-IN" w:bidi="hi-IN"/>
              </w:rPr>
              <w:t>NA</w:t>
            </w:r>
          </w:p>
        </w:tc>
        <w:tc>
          <w:tcPr>
            <w:tcW w:w="1937"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3474"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r>
      <w:tr w:rsidR="000E18BD" w:rsidRPr="00656F0B" w:rsidTr="0011088C">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25</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If convertible, fully or partially</w:t>
            </w:r>
          </w:p>
        </w:tc>
        <w:tc>
          <w:tcPr>
            <w:tcW w:w="224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509" w:type="dxa"/>
            <w:shd w:val="clear" w:color="auto" w:fill="auto"/>
            <w:noWrap/>
            <w:vAlign w:val="center"/>
            <w:hideMark/>
          </w:tcPr>
          <w:p w:rsidR="000E18BD" w:rsidRPr="003C0485" w:rsidRDefault="000E18BD" w:rsidP="000E18BD">
            <w:pPr>
              <w:spacing w:after="0" w:line="240" w:lineRule="auto"/>
              <w:rPr>
                <w:rFonts w:asciiTheme="minorHAnsi" w:hAnsiTheme="minorHAnsi" w:cstheme="minorHAnsi"/>
                <w:color w:val="000000"/>
                <w:sz w:val="16"/>
                <w:szCs w:val="16"/>
                <w:lang w:val="en-IN" w:eastAsia="en-IN" w:bidi="hi-IN"/>
              </w:rPr>
            </w:pPr>
            <w:r w:rsidRPr="003C0485">
              <w:rPr>
                <w:rFonts w:asciiTheme="minorHAnsi" w:hAnsiTheme="minorHAnsi" w:cstheme="minorHAnsi"/>
                <w:color w:val="000000"/>
                <w:sz w:val="16"/>
                <w:szCs w:val="16"/>
                <w:lang w:val="en-IN" w:eastAsia="en-IN" w:bidi="hi-IN"/>
              </w:rPr>
              <w:t>NA</w:t>
            </w:r>
          </w:p>
        </w:tc>
        <w:tc>
          <w:tcPr>
            <w:tcW w:w="1937"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3474"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r>
      <w:tr w:rsidR="000E18BD" w:rsidRPr="00656F0B" w:rsidTr="0011088C">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26</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If convertible, conversion rate</w:t>
            </w:r>
          </w:p>
        </w:tc>
        <w:tc>
          <w:tcPr>
            <w:tcW w:w="224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509" w:type="dxa"/>
            <w:shd w:val="clear" w:color="auto" w:fill="auto"/>
            <w:noWrap/>
            <w:vAlign w:val="center"/>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NA</w:t>
            </w:r>
          </w:p>
        </w:tc>
        <w:tc>
          <w:tcPr>
            <w:tcW w:w="1937"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3474"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r>
      <w:tr w:rsidR="000E18BD" w:rsidRPr="00656F0B" w:rsidTr="0011088C">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27</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If convertible, mandatory or optional conversion</w:t>
            </w:r>
          </w:p>
        </w:tc>
        <w:tc>
          <w:tcPr>
            <w:tcW w:w="224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509" w:type="dxa"/>
            <w:shd w:val="clear" w:color="auto" w:fill="auto"/>
            <w:noWrap/>
            <w:vAlign w:val="center"/>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NA</w:t>
            </w:r>
          </w:p>
        </w:tc>
        <w:tc>
          <w:tcPr>
            <w:tcW w:w="1937"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3474"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r>
      <w:tr w:rsidR="000E18BD" w:rsidRPr="00656F0B" w:rsidTr="0011088C">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28</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If convertible, specify instrument type convertible into</w:t>
            </w:r>
          </w:p>
        </w:tc>
        <w:tc>
          <w:tcPr>
            <w:tcW w:w="224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509" w:type="dxa"/>
            <w:shd w:val="clear" w:color="auto" w:fill="auto"/>
            <w:noWrap/>
            <w:vAlign w:val="center"/>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NA</w:t>
            </w:r>
          </w:p>
        </w:tc>
        <w:tc>
          <w:tcPr>
            <w:tcW w:w="1937"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3474"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r>
      <w:tr w:rsidR="000E18BD" w:rsidRPr="00656F0B" w:rsidTr="0011088C">
        <w:trPr>
          <w:trHeight w:val="315"/>
        </w:trPr>
        <w:tc>
          <w:tcPr>
            <w:tcW w:w="408"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29</w:t>
            </w:r>
          </w:p>
        </w:tc>
        <w:tc>
          <w:tcPr>
            <w:tcW w:w="1572" w:type="dxa"/>
            <w:shd w:val="clear" w:color="auto" w:fill="auto"/>
            <w:noWrap/>
            <w:vAlign w:val="bottom"/>
            <w:hideMark/>
          </w:tcPr>
          <w:p w:rsidR="000E18BD" w:rsidRPr="00656F0B" w:rsidRDefault="000E18BD" w:rsidP="000E18BD">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If convertible, specify issuer of instrument it converts into</w:t>
            </w:r>
          </w:p>
        </w:tc>
        <w:tc>
          <w:tcPr>
            <w:tcW w:w="2249"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509" w:type="dxa"/>
            <w:shd w:val="clear" w:color="auto" w:fill="auto"/>
            <w:noWrap/>
            <w:vAlign w:val="center"/>
            <w:hideMark/>
          </w:tcPr>
          <w:p w:rsidR="000E18BD" w:rsidRPr="00977668" w:rsidRDefault="000E18BD" w:rsidP="000E18BD">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NA</w:t>
            </w:r>
          </w:p>
        </w:tc>
        <w:tc>
          <w:tcPr>
            <w:tcW w:w="1937"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3474" w:type="dxa"/>
            <w:shd w:val="clear" w:color="auto" w:fill="auto"/>
            <w:noWrap/>
            <w:vAlign w:val="bottom"/>
            <w:hideMark/>
          </w:tcPr>
          <w:p w:rsidR="000E18BD" w:rsidRPr="000E18BD" w:rsidRDefault="000E18BD" w:rsidP="000E18BD">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r>
      <w:tr w:rsidR="009C7BDC" w:rsidRPr="00656F0B" w:rsidTr="00656F0B">
        <w:trPr>
          <w:trHeight w:val="315"/>
        </w:trPr>
        <w:tc>
          <w:tcPr>
            <w:tcW w:w="408"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30</w:t>
            </w:r>
          </w:p>
        </w:tc>
        <w:tc>
          <w:tcPr>
            <w:tcW w:w="1572"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Write-down feature</w:t>
            </w:r>
          </w:p>
        </w:tc>
        <w:tc>
          <w:tcPr>
            <w:tcW w:w="2249" w:type="dxa"/>
            <w:shd w:val="clear" w:color="auto" w:fill="auto"/>
            <w:noWrap/>
            <w:vAlign w:val="bottom"/>
            <w:hideMark/>
          </w:tcPr>
          <w:p w:rsidR="009C7BDC" w:rsidRPr="000E18BD" w:rsidRDefault="009C7BDC" w:rsidP="009C7BDC">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NO</w:t>
            </w:r>
          </w:p>
        </w:tc>
        <w:tc>
          <w:tcPr>
            <w:tcW w:w="2160"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Write-off feature is applicable</w:t>
            </w:r>
          </w:p>
        </w:tc>
        <w:tc>
          <w:tcPr>
            <w:tcW w:w="2509"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Write-off feature is applicable</w:t>
            </w:r>
          </w:p>
        </w:tc>
        <w:tc>
          <w:tcPr>
            <w:tcW w:w="1937"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Write-off feature is applicable</w:t>
            </w:r>
          </w:p>
        </w:tc>
        <w:tc>
          <w:tcPr>
            <w:tcW w:w="3474"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Write-off feature is applicable</w:t>
            </w:r>
          </w:p>
        </w:tc>
      </w:tr>
      <w:tr w:rsidR="009C7BDC" w:rsidRPr="00656F0B" w:rsidTr="00656F0B">
        <w:trPr>
          <w:trHeight w:val="315"/>
        </w:trPr>
        <w:tc>
          <w:tcPr>
            <w:tcW w:w="408"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lastRenderedPageBreak/>
              <w:t>31</w:t>
            </w:r>
          </w:p>
        </w:tc>
        <w:tc>
          <w:tcPr>
            <w:tcW w:w="1572"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If write-down, write-down trigger(s)</w:t>
            </w:r>
          </w:p>
        </w:tc>
        <w:tc>
          <w:tcPr>
            <w:tcW w:w="2249" w:type="dxa"/>
            <w:shd w:val="clear" w:color="auto" w:fill="auto"/>
            <w:noWrap/>
            <w:vAlign w:val="bottom"/>
            <w:hideMark/>
          </w:tcPr>
          <w:p w:rsidR="009C7BDC" w:rsidRPr="000E18BD" w:rsidRDefault="009C7BDC" w:rsidP="009C7BDC">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PONV Trigger as per RBI Guidelines</w:t>
            </w:r>
          </w:p>
        </w:tc>
        <w:tc>
          <w:tcPr>
            <w:tcW w:w="2509" w:type="dxa"/>
            <w:shd w:val="clear" w:color="auto" w:fill="auto"/>
            <w:noWrap/>
            <w:vAlign w:val="bottom"/>
            <w:hideMark/>
          </w:tcPr>
          <w:p w:rsidR="009C7BDC" w:rsidRPr="00977668" w:rsidRDefault="009C7BDC" w:rsidP="00812A66">
            <w:pPr>
              <w:spacing w:after="0" w:line="240" w:lineRule="auto"/>
              <w:rPr>
                <w:rFonts w:asciiTheme="minorHAnsi" w:hAnsiTheme="minorHAnsi" w:cstheme="minorHAnsi"/>
                <w:color w:val="000000"/>
                <w:sz w:val="16"/>
                <w:szCs w:val="16"/>
                <w:lang w:val="en-IN" w:eastAsia="en-IN" w:bidi="hi-IN"/>
              </w:rPr>
            </w:pPr>
            <w:r w:rsidRPr="003C0485">
              <w:rPr>
                <w:rFonts w:asciiTheme="minorHAnsi" w:hAnsiTheme="minorHAnsi" w:cstheme="minorHAnsi"/>
                <w:color w:val="000000"/>
                <w:sz w:val="16"/>
                <w:szCs w:val="16"/>
                <w:lang w:val="en-IN" w:eastAsia="en-IN" w:bidi="hi-IN"/>
              </w:rPr>
              <w:t xml:space="preserve">The Bonds </w:t>
            </w:r>
            <w:proofErr w:type="gramStart"/>
            <w:r w:rsidRPr="003C0485">
              <w:rPr>
                <w:rFonts w:asciiTheme="minorHAnsi" w:hAnsiTheme="minorHAnsi" w:cstheme="minorHAnsi"/>
                <w:color w:val="000000"/>
                <w:sz w:val="16"/>
                <w:szCs w:val="16"/>
                <w:lang w:val="en-IN" w:eastAsia="en-IN" w:bidi="hi-IN"/>
              </w:rPr>
              <w:t>issued  before</w:t>
            </w:r>
            <w:proofErr w:type="gramEnd"/>
            <w:r w:rsidRPr="003C0485">
              <w:rPr>
                <w:rFonts w:asciiTheme="minorHAnsi" w:hAnsiTheme="minorHAnsi" w:cstheme="minorHAnsi"/>
                <w:color w:val="000000"/>
                <w:sz w:val="16"/>
                <w:szCs w:val="16"/>
                <w:lang w:val="en-IN" w:eastAsia="en-IN" w:bidi="hi-IN"/>
              </w:rPr>
              <w:t xml:space="preserve"> </w:t>
            </w:r>
            <w:r w:rsidR="00812A66">
              <w:rPr>
                <w:rFonts w:asciiTheme="minorHAnsi" w:hAnsiTheme="minorHAnsi" w:cstheme="minorHAnsi"/>
                <w:color w:val="000000"/>
                <w:sz w:val="16"/>
                <w:szCs w:val="16"/>
                <w:lang w:val="en-IN" w:eastAsia="en-IN" w:bidi="hi-IN"/>
              </w:rPr>
              <w:t xml:space="preserve">30.09.2020 </w:t>
            </w:r>
            <w:r w:rsidRPr="003C0485">
              <w:rPr>
                <w:rFonts w:asciiTheme="minorHAnsi" w:hAnsiTheme="minorHAnsi" w:cstheme="minorHAnsi"/>
                <w:color w:val="000000"/>
                <w:sz w:val="16"/>
                <w:szCs w:val="16"/>
                <w:lang w:val="en-IN" w:eastAsia="en-IN" w:bidi="hi-IN"/>
              </w:rPr>
              <w:t xml:space="preserve"> i.e. before the full implementation of Basel III shall have two </w:t>
            </w:r>
            <w:proofErr w:type="spellStart"/>
            <w:r w:rsidRPr="003C0485">
              <w:rPr>
                <w:rFonts w:asciiTheme="minorHAnsi" w:hAnsiTheme="minorHAnsi" w:cstheme="minorHAnsi"/>
                <w:color w:val="000000"/>
                <w:sz w:val="16"/>
                <w:szCs w:val="16"/>
                <w:lang w:val="en-IN" w:eastAsia="en-IN" w:bidi="hi-IN"/>
              </w:rPr>
              <w:t>prespecified</w:t>
            </w:r>
            <w:proofErr w:type="spellEnd"/>
            <w:r w:rsidRPr="003C0485">
              <w:rPr>
                <w:rFonts w:asciiTheme="minorHAnsi" w:hAnsiTheme="minorHAnsi" w:cstheme="minorHAnsi"/>
                <w:color w:val="000000"/>
                <w:sz w:val="16"/>
                <w:szCs w:val="16"/>
                <w:lang w:val="en-IN" w:eastAsia="en-IN" w:bidi="hi-IN"/>
              </w:rPr>
              <w:t xml:space="preserve"> triggers. A lower pre-specified trigger at CET1 of 5.5% of RWAs shall apply and remain effective before</w:t>
            </w:r>
            <w:r w:rsidR="00812A66">
              <w:rPr>
                <w:rFonts w:asciiTheme="minorHAnsi" w:hAnsiTheme="minorHAnsi" w:cstheme="minorHAnsi"/>
                <w:color w:val="000000"/>
                <w:sz w:val="16"/>
                <w:szCs w:val="16"/>
                <w:lang w:val="en-IN" w:eastAsia="en-IN" w:bidi="hi-IN"/>
              </w:rPr>
              <w:t xml:space="preserve"> 30.09.2020 </w:t>
            </w:r>
            <w:bookmarkStart w:id="1" w:name="_GoBack"/>
            <w:bookmarkEnd w:id="1"/>
            <w:r w:rsidRPr="003C0485">
              <w:rPr>
                <w:rFonts w:asciiTheme="minorHAnsi" w:hAnsiTheme="minorHAnsi" w:cstheme="minorHAnsi"/>
                <w:color w:val="000000"/>
                <w:sz w:val="16"/>
                <w:szCs w:val="16"/>
                <w:lang w:val="en-IN" w:eastAsia="en-IN" w:bidi="hi-IN"/>
              </w:rPr>
              <w:t>.From this date the trigger shall be raised to CET1 OF 6.125% of RWAs for all such Bonds.</w:t>
            </w:r>
          </w:p>
        </w:tc>
        <w:tc>
          <w:tcPr>
            <w:tcW w:w="1937"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PONV Trigger as per RBI Guidelines</w:t>
            </w:r>
          </w:p>
        </w:tc>
        <w:tc>
          <w:tcPr>
            <w:tcW w:w="3474"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PONV Trigger as per RBI Guidelines</w:t>
            </w:r>
          </w:p>
        </w:tc>
      </w:tr>
      <w:tr w:rsidR="009C7BDC" w:rsidRPr="00656F0B" w:rsidTr="00656F0B">
        <w:trPr>
          <w:trHeight w:val="315"/>
        </w:trPr>
        <w:tc>
          <w:tcPr>
            <w:tcW w:w="408"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32</w:t>
            </w:r>
          </w:p>
        </w:tc>
        <w:tc>
          <w:tcPr>
            <w:tcW w:w="1572"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If write-down, full or partial</w:t>
            </w:r>
          </w:p>
        </w:tc>
        <w:tc>
          <w:tcPr>
            <w:tcW w:w="2249" w:type="dxa"/>
            <w:shd w:val="clear" w:color="auto" w:fill="auto"/>
            <w:noWrap/>
            <w:vAlign w:val="bottom"/>
            <w:hideMark/>
          </w:tcPr>
          <w:p w:rsidR="009C7BDC" w:rsidRPr="000E18BD" w:rsidRDefault="009C7BDC" w:rsidP="009C7BDC">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full or partial</w:t>
            </w:r>
          </w:p>
        </w:tc>
        <w:tc>
          <w:tcPr>
            <w:tcW w:w="2509"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full or partial</w:t>
            </w:r>
          </w:p>
        </w:tc>
        <w:tc>
          <w:tcPr>
            <w:tcW w:w="1937"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full or partial</w:t>
            </w:r>
          </w:p>
        </w:tc>
        <w:tc>
          <w:tcPr>
            <w:tcW w:w="3474"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full or partial</w:t>
            </w:r>
          </w:p>
        </w:tc>
      </w:tr>
      <w:tr w:rsidR="009C7BDC" w:rsidRPr="00656F0B" w:rsidTr="00656F0B">
        <w:trPr>
          <w:trHeight w:val="315"/>
        </w:trPr>
        <w:tc>
          <w:tcPr>
            <w:tcW w:w="408"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33</w:t>
            </w:r>
          </w:p>
        </w:tc>
        <w:tc>
          <w:tcPr>
            <w:tcW w:w="1572"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If write-down, permanent or temporary</w:t>
            </w:r>
          </w:p>
        </w:tc>
        <w:tc>
          <w:tcPr>
            <w:tcW w:w="2249" w:type="dxa"/>
            <w:shd w:val="clear" w:color="auto" w:fill="auto"/>
            <w:noWrap/>
            <w:vAlign w:val="bottom"/>
            <w:hideMark/>
          </w:tcPr>
          <w:p w:rsidR="009C7BDC" w:rsidRPr="000E18BD" w:rsidRDefault="009C7BDC" w:rsidP="009C7BDC">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Permanent</w:t>
            </w:r>
          </w:p>
        </w:tc>
        <w:tc>
          <w:tcPr>
            <w:tcW w:w="2509"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The write down mechanism may be Temporary or Permanent at Bank’s Discretion.</w:t>
            </w:r>
          </w:p>
        </w:tc>
        <w:tc>
          <w:tcPr>
            <w:tcW w:w="1937"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Permanent</w:t>
            </w:r>
          </w:p>
        </w:tc>
        <w:tc>
          <w:tcPr>
            <w:tcW w:w="3474"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Permanent</w:t>
            </w:r>
          </w:p>
        </w:tc>
      </w:tr>
      <w:tr w:rsidR="009C7BDC" w:rsidRPr="00656F0B" w:rsidTr="00656F0B">
        <w:trPr>
          <w:trHeight w:val="315"/>
        </w:trPr>
        <w:tc>
          <w:tcPr>
            <w:tcW w:w="408"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34</w:t>
            </w:r>
          </w:p>
        </w:tc>
        <w:tc>
          <w:tcPr>
            <w:tcW w:w="1572"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If temporary write-down, description of write-up mechanism</w:t>
            </w:r>
          </w:p>
        </w:tc>
        <w:tc>
          <w:tcPr>
            <w:tcW w:w="2249" w:type="dxa"/>
            <w:shd w:val="clear" w:color="auto" w:fill="auto"/>
            <w:noWrap/>
            <w:vAlign w:val="bottom"/>
            <w:hideMark/>
          </w:tcPr>
          <w:p w:rsidR="009C7BDC" w:rsidRPr="000E18BD" w:rsidRDefault="009C7BDC" w:rsidP="009C7BDC">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NA</w:t>
            </w:r>
          </w:p>
        </w:tc>
        <w:tc>
          <w:tcPr>
            <w:tcW w:w="2160"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NA</w:t>
            </w:r>
          </w:p>
        </w:tc>
        <w:tc>
          <w:tcPr>
            <w:tcW w:w="2509"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 xml:space="preserve">A temporary </w:t>
            </w:r>
            <w:proofErr w:type="spellStart"/>
            <w:r w:rsidRPr="00977668">
              <w:rPr>
                <w:rFonts w:asciiTheme="minorHAnsi" w:hAnsiTheme="minorHAnsi" w:cstheme="minorHAnsi"/>
                <w:color w:val="000000"/>
                <w:sz w:val="16"/>
                <w:szCs w:val="16"/>
                <w:lang w:val="en-IN" w:eastAsia="en-IN" w:bidi="hi-IN"/>
              </w:rPr>
              <w:t>writedown</w:t>
            </w:r>
            <w:proofErr w:type="spellEnd"/>
            <w:r w:rsidRPr="00977668">
              <w:rPr>
                <w:rFonts w:asciiTheme="minorHAnsi" w:hAnsiTheme="minorHAnsi" w:cstheme="minorHAnsi"/>
                <w:color w:val="000000"/>
                <w:sz w:val="16"/>
                <w:szCs w:val="16"/>
                <w:lang w:val="en-IN" w:eastAsia="en-IN" w:bidi="hi-IN"/>
              </w:rPr>
              <w:t xml:space="preserve"> is different from a conversion and a permanent </w:t>
            </w:r>
            <w:proofErr w:type="spellStart"/>
            <w:r w:rsidRPr="00977668">
              <w:rPr>
                <w:rFonts w:asciiTheme="minorHAnsi" w:hAnsiTheme="minorHAnsi" w:cstheme="minorHAnsi"/>
                <w:color w:val="000000"/>
                <w:sz w:val="16"/>
                <w:szCs w:val="16"/>
                <w:lang w:val="en-IN" w:eastAsia="en-IN" w:bidi="hi-IN"/>
              </w:rPr>
              <w:t>writedowni.e.the</w:t>
            </w:r>
            <w:proofErr w:type="spellEnd"/>
            <w:r w:rsidRPr="00977668">
              <w:rPr>
                <w:rFonts w:asciiTheme="minorHAnsi" w:hAnsiTheme="minorHAnsi" w:cstheme="minorHAnsi"/>
                <w:color w:val="000000"/>
                <w:sz w:val="16"/>
                <w:szCs w:val="16"/>
                <w:lang w:val="en-IN" w:eastAsia="en-IN" w:bidi="hi-IN"/>
              </w:rPr>
              <w:t xml:space="preserve"> original instrument may not be fully </w:t>
            </w:r>
            <w:proofErr w:type="spellStart"/>
            <w:r w:rsidRPr="00977668">
              <w:rPr>
                <w:rFonts w:asciiTheme="minorHAnsi" w:hAnsiTheme="minorHAnsi" w:cstheme="minorHAnsi"/>
                <w:color w:val="000000"/>
                <w:sz w:val="16"/>
                <w:szCs w:val="16"/>
                <w:lang w:val="en-IN" w:eastAsia="en-IN" w:bidi="hi-IN"/>
              </w:rPr>
              <w:t>extinguished.Generally</w:t>
            </w:r>
            <w:proofErr w:type="spellEnd"/>
            <w:r w:rsidRPr="00977668">
              <w:rPr>
                <w:rFonts w:asciiTheme="minorHAnsi" w:hAnsiTheme="minorHAnsi" w:cstheme="minorHAnsi"/>
                <w:color w:val="000000"/>
                <w:sz w:val="16"/>
                <w:szCs w:val="16"/>
                <w:lang w:val="en-IN" w:eastAsia="en-IN" w:bidi="hi-IN"/>
              </w:rPr>
              <w:t>, the par value of the instrument is written-down (decrease) on the occurrence of the trigger event and which may be written-up (increase) back to its original value in future in conformity with the provisions of the RBI Basel III Guidelines. The amount shown on the balance sheet subsequent to temporary write-down may depend on the precise features of the Bonds and the prevailing accounting standards.</w:t>
            </w:r>
          </w:p>
        </w:tc>
        <w:tc>
          <w:tcPr>
            <w:tcW w:w="1937"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NA</w:t>
            </w:r>
          </w:p>
        </w:tc>
        <w:tc>
          <w:tcPr>
            <w:tcW w:w="3474"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NA</w:t>
            </w:r>
          </w:p>
        </w:tc>
      </w:tr>
      <w:tr w:rsidR="009C7BDC" w:rsidRPr="00656F0B" w:rsidTr="00656F0B">
        <w:trPr>
          <w:trHeight w:val="945"/>
        </w:trPr>
        <w:tc>
          <w:tcPr>
            <w:tcW w:w="408" w:type="dxa"/>
            <w:shd w:val="clear" w:color="auto" w:fill="auto"/>
            <w:noWrap/>
            <w:vAlign w:val="center"/>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35</w:t>
            </w:r>
          </w:p>
        </w:tc>
        <w:tc>
          <w:tcPr>
            <w:tcW w:w="1572" w:type="dxa"/>
            <w:shd w:val="clear" w:color="auto" w:fill="auto"/>
            <w:noWrap/>
            <w:vAlign w:val="center"/>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Position in subordination hierarchy in liquidation (specify instrument type immediately senior to instrument)</w:t>
            </w:r>
          </w:p>
        </w:tc>
        <w:tc>
          <w:tcPr>
            <w:tcW w:w="2249" w:type="dxa"/>
            <w:shd w:val="clear" w:color="auto" w:fill="auto"/>
            <w:noWrap/>
            <w:vAlign w:val="bottom"/>
            <w:hideMark/>
          </w:tcPr>
          <w:p w:rsidR="009C7BDC" w:rsidRPr="000E18BD" w:rsidRDefault="009C7BDC" w:rsidP="009C7BDC">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UNSECURED LIABILITIES (depositors &amp; general creditors))</w:t>
            </w:r>
          </w:p>
        </w:tc>
        <w:tc>
          <w:tcPr>
            <w:tcW w:w="2160"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proofErr w:type="spellStart"/>
            <w:r w:rsidRPr="00977668">
              <w:rPr>
                <w:rFonts w:asciiTheme="minorHAnsi" w:hAnsiTheme="minorHAnsi" w:cstheme="minorHAnsi"/>
                <w:color w:val="000000"/>
                <w:sz w:val="16"/>
                <w:szCs w:val="16"/>
                <w:lang w:val="en-IN" w:eastAsia="en-IN" w:bidi="hi-IN"/>
              </w:rPr>
              <w:t>Subbordinate</w:t>
            </w:r>
            <w:proofErr w:type="spellEnd"/>
            <w:r w:rsidRPr="00977668">
              <w:rPr>
                <w:rFonts w:asciiTheme="minorHAnsi" w:hAnsiTheme="minorHAnsi" w:cstheme="minorHAnsi"/>
                <w:color w:val="000000"/>
                <w:sz w:val="16"/>
                <w:szCs w:val="16"/>
                <w:lang w:val="en-IN" w:eastAsia="en-IN" w:bidi="hi-IN"/>
              </w:rPr>
              <w:t xml:space="preserve"> to claims of all depositors and general creditors of the bank</w:t>
            </w:r>
          </w:p>
        </w:tc>
        <w:tc>
          <w:tcPr>
            <w:tcW w:w="2509"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 xml:space="preserve">Subordinated to the claims of (a) all depositors,(b) general creditors  (c) subordinated debt of the bank other than subordinated debt qualifying as  Additional Tier 1 Capital (as the term is defined in the Basel III Guidelines) ;(d) Debt Capital Instruments eligible for inclusion in Tier 2 capital issued and to be issued in future by the </w:t>
            </w:r>
            <w:r w:rsidRPr="00977668">
              <w:rPr>
                <w:rFonts w:asciiTheme="minorHAnsi" w:hAnsiTheme="minorHAnsi" w:cstheme="minorHAnsi"/>
                <w:color w:val="000000"/>
                <w:sz w:val="16"/>
                <w:szCs w:val="16"/>
                <w:lang w:val="en-IN" w:eastAsia="en-IN" w:bidi="hi-IN"/>
              </w:rPr>
              <w:lastRenderedPageBreak/>
              <w:t xml:space="preserve">Bank; (e) perpetual cumulative preference shares;(f) redeemable non-cumulative preference shares; (g)redeemable cumulative preference shares eligible for inclusion in Tier 2 capital issued and to be issued </w:t>
            </w:r>
            <w:proofErr w:type="spellStart"/>
            <w:r w:rsidRPr="00977668">
              <w:rPr>
                <w:rFonts w:asciiTheme="minorHAnsi" w:hAnsiTheme="minorHAnsi" w:cstheme="minorHAnsi"/>
                <w:color w:val="000000"/>
                <w:sz w:val="16"/>
                <w:szCs w:val="16"/>
                <w:lang w:val="en-IN" w:eastAsia="en-IN" w:bidi="hi-IN"/>
              </w:rPr>
              <w:t>infuture</w:t>
            </w:r>
            <w:proofErr w:type="spellEnd"/>
            <w:r w:rsidRPr="00977668">
              <w:rPr>
                <w:rFonts w:asciiTheme="minorHAnsi" w:hAnsiTheme="minorHAnsi" w:cstheme="minorHAnsi"/>
                <w:color w:val="000000"/>
                <w:sz w:val="16"/>
                <w:szCs w:val="16"/>
                <w:lang w:val="en-IN" w:eastAsia="en-IN" w:bidi="hi-IN"/>
              </w:rPr>
              <w:t xml:space="preserve"> by the Bank</w:t>
            </w:r>
          </w:p>
        </w:tc>
        <w:tc>
          <w:tcPr>
            <w:tcW w:w="1937"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proofErr w:type="spellStart"/>
            <w:r w:rsidRPr="00977668">
              <w:rPr>
                <w:rFonts w:asciiTheme="minorHAnsi" w:hAnsiTheme="minorHAnsi" w:cstheme="minorHAnsi"/>
                <w:color w:val="000000"/>
                <w:sz w:val="16"/>
                <w:szCs w:val="16"/>
                <w:lang w:val="en-IN" w:eastAsia="en-IN" w:bidi="hi-IN"/>
              </w:rPr>
              <w:lastRenderedPageBreak/>
              <w:t>Subbordinate</w:t>
            </w:r>
            <w:proofErr w:type="spellEnd"/>
            <w:r w:rsidRPr="00977668">
              <w:rPr>
                <w:rFonts w:asciiTheme="minorHAnsi" w:hAnsiTheme="minorHAnsi" w:cstheme="minorHAnsi"/>
                <w:color w:val="000000"/>
                <w:sz w:val="16"/>
                <w:szCs w:val="16"/>
                <w:lang w:val="en-IN" w:eastAsia="en-IN" w:bidi="hi-IN"/>
              </w:rPr>
              <w:t xml:space="preserve"> to claims of all depositors and general creditors of the bank</w:t>
            </w:r>
          </w:p>
        </w:tc>
        <w:tc>
          <w:tcPr>
            <w:tcW w:w="3474" w:type="dxa"/>
            <w:shd w:val="clear" w:color="auto" w:fill="auto"/>
            <w:noWrap/>
            <w:vAlign w:val="bottom"/>
            <w:hideMark/>
          </w:tcPr>
          <w:p w:rsidR="009C7BDC" w:rsidRPr="00977668" w:rsidRDefault="009C7BDC" w:rsidP="009C7BDC">
            <w:pPr>
              <w:spacing w:after="0" w:line="240" w:lineRule="auto"/>
              <w:rPr>
                <w:rFonts w:asciiTheme="minorHAnsi" w:hAnsiTheme="minorHAnsi" w:cstheme="minorHAnsi"/>
                <w:color w:val="000000"/>
                <w:sz w:val="16"/>
                <w:szCs w:val="16"/>
                <w:lang w:val="en-IN" w:eastAsia="en-IN" w:bidi="hi-IN"/>
              </w:rPr>
            </w:pPr>
            <w:proofErr w:type="spellStart"/>
            <w:r w:rsidRPr="00977668">
              <w:rPr>
                <w:rFonts w:asciiTheme="minorHAnsi" w:hAnsiTheme="minorHAnsi" w:cstheme="minorHAnsi"/>
                <w:color w:val="000000"/>
                <w:sz w:val="16"/>
                <w:szCs w:val="16"/>
                <w:lang w:val="en-IN" w:eastAsia="en-IN" w:bidi="hi-IN"/>
              </w:rPr>
              <w:t>Subbordinate</w:t>
            </w:r>
            <w:proofErr w:type="spellEnd"/>
            <w:r w:rsidRPr="00977668">
              <w:rPr>
                <w:rFonts w:asciiTheme="minorHAnsi" w:hAnsiTheme="minorHAnsi" w:cstheme="minorHAnsi"/>
                <w:color w:val="000000"/>
                <w:sz w:val="16"/>
                <w:szCs w:val="16"/>
                <w:lang w:val="en-IN" w:eastAsia="en-IN" w:bidi="hi-IN"/>
              </w:rPr>
              <w:t xml:space="preserve"> to claims of all depositors and general creditors of the bank</w:t>
            </w:r>
          </w:p>
        </w:tc>
      </w:tr>
      <w:tr w:rsidR="009C7BDC" w:rsidRPr="00656F0B" w:rsidTr="0011088C">
        <w:trPr>
          <w:trHeight w:val="315"/>
        </w:trPr>
        <w:tc>
          <w:tcPr>
            <w:tcW w:w="408"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lastRenderedPageBreak/>
              <w:t>36</w:t>
            </w:r>
          </w:p>
        </w:tc>
        <w:tc>
          <w:tcPr>
            <w:tcW w:w="1572"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Non-compliant transitioned features</w:t>
            </w:r>
          </w:p>
        </w:tc>
        <w:tc>
          <w:tcPr>
            <w:tcW w:w="2249" w:type="dxa"/>
            <w:shd w:val="clear" w:color="auto" w:fill="auto"/>
            <w:noWrap/>
            <w:vAlign w:val="bottom"/>
            <w:hideMark/>
          </w:tcPr>
          <w:p w:rsidR="009C7BDC" w:rsidRPr="000E18BD" w:rsidRDefault="009C7BDC" w:rsidP="009C7BDC">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YES</w:t>
            </w:r>
          </w:p>
        </w:tc>
        <w:tc>
          <w:tcPr>
            <w:tcW w:w="2160" w:type="dxa"/>
            <w:shd w:val="clear" w:color="auto" w:fill="auto"/>
            <w:noWrap/>
            <w:vAlign w:val="center"/>
            <w:hideMark/>
          </w:tcPr>
          <w:p w:rsidR="009C7BDC" w:rsidRPr="00977668" w:rsidRDefault="009C7BDC" w:rsidP="009C7BDC">
            <w:pPr>
              <w:spacing w:after="0" w:line="240" w:lineRule="auto"/>
              <w:jc w:val="both"/>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NA</w:t>
            </w:r>
          </w:p>
        </w:tc>
        <w:tc>
          <w:tcPr>
            <w:tcW w:w="2509" w:type="dxa"/>
            <w:shd w:val="clear" w:color="auto" w:fill="auto"/>
            <w:noWrap/>
            <w:vAlign w:val="center"/>
            <w:hideMark/>
          </w:tcPr>
          <w:p w:rsidR="009C7BDC" w:rsidRPr="00977668" w:rsidRDefault="009C7BDC" w:rsidP="009C7BDC">
            <w:pPr>
              <w:spacing w:after="0" w:line="240" w:lineRule="auto"/>
              <w:jc w:val="both"/>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NO</w:t>
            </w:r>
          </w:p>
        </w:tc>
        <w:tc>
          <w:tcPr>
            <w:tcW w:w="1937" w:type="dxa"/>
            <w:shd w:val="clear" w:color="auto" w:fill="auto"/>
            <w:noWrap/>
            <w:vAlign w:val="bottom"/>
            <w:hideMark/>
          </w:tcPr>
          <w:p w:rsidR="009C7BDC" w:rsidRPr="00977668" w:rsidRDefault="009C7BDC" w:rsidP="009C7BDC">
            <w:pPr>
              <w:spacing w:after="0" w:line="240" w:lineRule="auto"/>
              <w:jc w:val="both"/>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NA</w:t>
            </w:r>
          </w:p>
        </w:tc>
        <w:tc>
          <w:tcPr>
            <w:tcW w:w="3474" w:type="dxa"/>
            <w:shd w:val="clear" w:color="auto" w:fill="auto"/>
            <w:noWrap/>
            <w:vAlign w:val="bottom"/>
            <w:hideMark/>
          </w:tcPr>
          <w:p w:rsidR="009C7BDC" w:rsidRPr="00977668" w:rsidRDefault="009C7BDC" w:rsidP="009C7BDC">
            <w:pPr>
              <w:spacing w:after="0" w:line="240" w:lineRule="auto"/>
              <w:jc w:val="both"/>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val="en-IN" w:eastAsia="en-IN" w:bidi="hi-IN"/>
              </w:rPr>
              <w:t>NA</w:t>
            </w:r>
          </w:p>
        </w:tc>
      </w:tr>
      <w:tr w:rsidR="009C7BDC" w:rsidRPr="00656F0B" w:rsidTr="0011088C">
        <w:trPr>
          <w:trHeight w:val="315"/>
        </w:trPr>
        <w:tc>
          <w:tcPr>
            <w:tcW w:w="408"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37</w:t>
            </w:r>
          </w:p>
        </w:tc>
        <w:tc>
          <w:tcPr>
            <w:tcW w:w="1572" w:type="dxa"/>
            <w:shd w:val="clear" w:color="auto" w:fill="auto"/>
            <w:noWrap/>
            <w:vAlign w:val="bottom"/>
            <w:hideMark/>
          </w:tcPr>
          <w:p w:rsidR="009C7BDC" w:rsidRPr="00656F0B" w:rsidRDefault="009C7BDC" w:rsidP="009C7BDC">
            <w:pPr>
              <w:spacing w:after="0" w:line="240" w:lineRule="auto"/>
              <w:jc w:val="both"/>
              <w:rPr>
                <w:rFonts w:asciiTheme="minorHAnsi" w:hAnsiTheme="minorHAnsi" w:cstheme="minorHAnsi"/>
                <w:color w:val="000000"/>
                <w:sz w:val="16"/>
                <w:szCs w:val="16"/>
                <w:lang w:val="en-IN" w:eastAsia="en-IN" w:bidi="hi-IN"/>
              </w:rPr>
            </w:pPr>
            <w:r w:rsidRPr="00656F0B">
              <w:rPr>
                <w:rFonts w:asciiTheme="minorHAnsi" w:hAnsiTheme="minorHAnsi" w:cstheme="minorHAnsi"/>
                <w:color w:val="000000"/>
                <w:sz w:val="16"/>
                <w:szCs w:val="16"/>
                <w:lang w:val="en-IN" w:eastAsia="en-IN" w:bidi="hi-IN"/>
              </w:rPr>
              <w:t>If yes, specify non-compliant features</w:t>
            </w:r>
          </w:p>
        </w:tc>
        <w:tc>
          <w:tcPr>
            <w:tcW w:w="2249" w:type="dxa"/>
            <w:shd w:val="clear" w:color="auto" w:fill="auto"/>
            <w:noWrap/>
            <w:vAlign w:val="bottom"/>
            <w:hideMark/>
          </w:tcPr>
          <w:p w:rsidR="009C7BDC" w:rsidRPr="000E18BD" w:rsidRDefault="009C7BDC" w:rsidP="009C7BDC">
            <w:pPr>
              <w:spacing w:after="0" w:line="240" w:lineRule="auto"/>
              <w:jc w:val="both"/>
              <w:rPr>
                <w:rFonts w:asciiTheme="minorHAnsi" w:hAnsiTheme="minorHAnsi" w:cstheme="minorHAnsi"/>
                <w:color w:val="000000"/>
                <w:sz w:val="16"/>
                <w:szCs w:val="16"/>
                <w:lang w:val="en-IN" w:eastAsia="en-IN" w:bidi="hi-IN"/>
              </w:rPr>
            </w:pPr>
            <w:r w:rsidRPr="000E18BD">
              <w:rPr>
                <w:rFonts w:asciiTheme="minorHAnsi" w:hAnsiTheme="minorHAnsi" w:cstheme="minorHAnsi"/>
                <w:color w:val="000000"/>
                <w:sz w:val="16"/>
                <w:szCs w:val="16"/>
                <w:lang w:val="en-IN" w:eastAsia="en-IN" w:bidi="hi-IN"/>
              </w:rPr>
              <w:t>Point of non-viability.</w:t>
            </w:r>
          </w:p>
        </w:tc>
        <w:tc>
          <w:tcPr>
            <w:tcW w:w="2160" w:type="dxa"/>
            <w:shd w:val="clear" w:color="auto" w:fill="auto"/>
            <w:noWrap/>
            <w:vAlign w:val="center"/>
            <w:hideMark/>
          </w:tcPr>
          <w:p w:rsidR="009C7BDC" w:rsidRPr="00977668" w:rsidRDefault="009C7BDC" w:rsidP="009C7BDC">
            <w:pPr>
              <w:spacing w:after="0" w:line="240" w:lineRule="auto"/>
              <w:jc w:val="both"/>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NA</w:t>
            </w:r>
          </w:p>
        </w:tc>
        <w:tc>
          <w:tcPr>
            <w:tcW w:w="2509" w:type="dxa"/>
            <w:shd w:val="clear" w:color="auto" w:fill="auto"/>
            <w:noWrap/>
            <w:vAlign w:val="center"/>
            <w:hideMark/>
          </w:tcPr>
          <w:p w:rsidR="009C7BDC" w:rsidRPr="00977668" w:rsidRDefault="009C7BDC" w:rsidP="009C7BDC">
            <w:pPr>
              <w:spacing w:after="0" w:line="240" w:lineRule="auto"/>
              <w:jc w:val="both"/>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NA</w:t>
            </w:r>
          </w:p>
        </w:tc>
        <w:tc>
          <w:tcPr>
            <w:tcW w:w="1937" w:type="dxa"/>
            <w:shd w:val="clear" w:color="auto" w:fill="auto"/>
            <w:noWrap/>
            <w:vAlign w:val="center"/>
            <w:hideMark/>
          </w:tcPr>
          <w:p w:rsidR="009C7BDC" w:rsidRPr="00977668" w:rsidRDefault="009C7BDC" w:rsidP="009C7BDC">
            <w:pPr>
              <w:spacing w:after="0" w:line="240" w:lineRule="auto"/>
              <w:jc w:val="both"/>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NA</w:t>
            </w:r>
          </w:p>
        </w:tc>
        <w:tc>
          <w:tcPr>
            <w:tcW w:w="3474" w:type="dxa"/>
            <w:shd w:val="clear" w:color="auto" w:fill="auto"/>
            <w:noWrap/>
            <w:vAlign w:val="center"/>
            <w:hideMark/>
          </w:tcPr>
          <w:p w:rsidR="009C7BDC" w:rsidRPr="00977668" w:rsidRDefault="009C7BDC" w:rsidP="009C7BDC">
            <w:pPr>
              <w:spacing w:after="0" w:line="240" w:lineRule="auto"/>
              <w:jc w:val="both"/>
              <w:rPr>
                <w:rFonts w:asciiTheme="minorHAnsi" w:hAnsiTheme="minorHAnsi" w:cstheme="minorHAnsi"/>
                <w:color w:val="000000"/>
                <w:sz w:val="16"/>
                <w:szCs w:val="16"/>
                <w:lang w:val="en-IN" w:eastAsia="en-IN" w:bidi="hi-IN"/>
              </w:rPr>
            </w:pPr>
            <w:r w:rsidRPr="00977668">
              <w:rPr>
                <w:rFonts w:asciiTheme="minorHAnsi" w:hAnsiTheme="minorHAnsi" w:cstheme="minorHAnsi"/>
                <w:color w:val="000000"/>
                <w:sz w:val="16"/>
                <w:szCs w:val="16"/>
                <w:lang w:eastAsia="en-IN" w:bidi="hi-IN"/>
              </w:rPr>
              <w:t>NA</w:t>
            </w:r>
          </w:p>
        </w:tc>
      </w:tr>
    </w:tbl>
    <w:p w:rsidR="00A30257" w:rsidRDefault="00A30257" w:rsidP="007344A8">
      <w:pPr>
        <w:autoSpaceDE w:val="0"/>
        <w:autoSpaceDN w:val="0"/>
        <w:adjustRightInd w:val="0"/>
        <w:spacing w:after="0" w:line="240" w:lineRule="auto"/>
        <w:rPr>
          <w:rFonts w:ascii="Times New Roman" w:hAnsi="Times New Roman" w:cs="Times New Roman"/>
          <w:b/>
          <w:bCs/>
        </w:rPr>
      </w:pPr>
    </w:p>
    <w:p w:rsidR="007344A8" w:rsidRPr="00CF58D3" w:rsidRDefault="007344A8" w:rsidP="007344A8">
      <w:pPr>
        <w:autoSpaceDE w:val="0"/>
        <w:autoSpaceDN w:val="0"/>
        <w:adjustRightInd w:val="0"/>
        <w:spacing w:after="0" w:line="240" w:lineRule="auto"/>
        <w:rPr>
          <w:rFonts w:ascii="Times New Roman" w:hAnsi="Times New Roman" w:cs="Times New Roman"/>
          <w:b/>
          <w:bCs/>
        </w:rPr>
      </w:pPr>
    </w:p>
    <w:p w:rsidR="007344A8" w:rsidRPr="00CF58D3" w:rsidRDefault="007344A8" w:rsidP="007344A8">
      <w:pPr>
        <w:autoSpaceDE w:val="0"/>
        <w:autoSpaceDN w:val="0"/>
        <w:adjustRightInd w:val="0"/>
        <w:spacing w:after="0" w:line="240" w:lineRule="auto"/>
        <w:rPr>
          <w:rFonts w:ascii="Times New Roman" w:hAnsi="Times New Roman" w:cs="Times New Roman"/>
          <w:b/>
          <w:bCs/>
        </w:rPr>
      </w:pPr>
    </w:p>
    <w:p w:rsidR="00722A32" w:rsidRPr="00CF58D3" w:rsidRDefault="00722A32" w:rsidP="007344A8">
      <w:pPr>
        <w:autoSpaceDE w:val="0"/>
        <w:autoSpaceDN w:val="0"/>
        <w:adjustRightInd w:val="0"/>
        <w:spacing w:after="0" w:line="240" w:lineRule="auto"/>
        <w:rPr>
          <w:rFonts w:ascii="Times New Roman" w:hAnsi="Times New Roman" w:cs="Times New Roman"/>
          <w:b/>
          <w:bCs/>
        </w:rPr>
        <w:sectPr w:rsidR="00722A32" w:rsidRPr="00CF58D3" w:rsidSect="00465FB0">
          <w:headerReference w:type="default" r:id="rId10"/>
          <w:pgSz w:w="15840" w:h="12240" w:orient="landscape"/>
          <w:pgMar w:top="576" w:right="720" w:bottom="576" w:left="720" w:header="720" w:footer="720" w:gutter="0"/>
          <w:cols w:space="720"/>
          <w:titlePg/>
          <w:docGrid w:linePitch="360"/>
        </w:sectPr>
      </w:pPr>
    </w:p>
    <w:p w:rsidR="007344A8" w:rsidRPr="00CF58D3" w:rsidRDefault="007344A8" w:rsidP="007344A8">
      <w:pPr>
        <w:autoSpaceDE w:val="0"/>
        <w:autoSpaceDN w:val="0"/>
        <w:adjustRightInd w:val="0"/>
        <w:spacing w:after="0" w:line="240" w:lineRule="auto"/>
        <w:rPr>
          <w:rFonts w:ascii="Times New Roman" w:hAnsi="Times New Roman" w:cs="Times New Roman"/>
          <w:b/>
          <w:bCs/>
        </w:rPr>
      </w:pPr>
    </w:p>
    <w:p w:rsidR="007344A8" w:rsidRPr="00CF58D3" w:rsidRDefault="007344A8" w:rsidP="009711E9">
      <w:pPr>
        <w:autoSpaceDE w:val="0"/>
        <w:autoSpaceDN w:val="0"/>
        <w:adjustRightInd w:val="0"/>
        <w:spacing w:after="0" w:line="240" w:lineRule="auto"/>
        <w:rPr>
          <w:rFonts w:ascii="Times New Roman" w:hAnsi="Times New Roman" w:cs="Times New Roman"/>
        </w:rPr>
      </w:pPr>
    </w:p>
    <w:p w:rsidR="007B50FF" w:rsidRPr="00CF58D3" w:rsidRDefault="007B50FF" w:rsidP="007B50FF">
      <w:pPr>
        <w:autoSpaceDE w:val="0"/>
        <w:autoSpaceDN w:val="0"/>
        <w:adjustRightInd w:val="0"/>
        <w:spacing w:after="0" w:line="240" w:lineRule="auto"/>
        <w:jc w:val="both"/>
        <w:rPr>
          <w:rFonts w:ascii="Times New Roman" w:hAnsi="Times New Roman" w:cs="Times New Roman"/>
          <w:b/>
          <w:bCs/>
        </w:rPr>
      </w:pPr>
      <w:r w:rsidRPr="00CF58D3">
        <w:rPr>
          <w:rFonts w:ascii="Times New Roman" w:hAnsi="Times New Roman" w:cs="Times New Roman"/>
          <w:b/>
          <w:bCs/>
        </w:rPr>
        <w:t xml:space="preserve">LEVERAGE RATIO </w:t>
      </w:r>
    </w:p>
    <w:p w:rsidR="007B50FF" w:rsidRPr="00CF58D3" w:rsidRDefault="007B50FF" w:rsidP="007B50FF">
      <w:pPr>
        <w:autoSpaceDE w:val="0"/>
        <w:autoSpaceDN w:val="0"/>
        <w:adjustRightInd w:val="0"/>
        <w:spacing w:after="0" w:line="240" w:lineRule="auto"/>
        <w:jc w:val="both"/>
        <w:rPr>
          <w:rFonts w:ascii="Times New Roman" w:hAnsi="Times New Roman" w:cs="Times New Roman"/>
        </w:rPr>
      </w:pPr>
    </w:p>
    <w:p w:rsidR="007B50FF" w:rsidRPr="00CF58D3" w:rsidRDefault="007B50FF" w:rsidP="007B50FF">
      <w:pPr>
        <w:autoSpaceDE w:val="0"/>
        <w:autoSpaceDN w:val="0"/>
        <w:adjustRightInd w:val="0"/>
        <w:spacing w:after="0" w:line="240" w:lineRule="auto"/>
        <w:jc w:val="both"/>
        <w:rPr>
          <w:rFonts w:ascii="Times New Roman" w:hAnsi="Times New Roman" w:cs="Times New Roman"/>
        </w:rPr>
      </w:pPr>
      <w:r w:rsidRPr="00CF58D3">
        <w:rPr>
          <w:rFonts w:ascii="Times New Roman" w:hAnsi="Times New Roman" w:cs="Times New Roman"/>
        </w:rPr>
        <w:t>The leverage ratio has been calculated using the definitions of capital and total exposure. The Bank’s leverage ratio, calculated in accordance with the RBI guidelines is as follows:</w:t>
      </w:r>
    </w:p>
    <w:p w:rsidR="007B50FF" w:rsidRPr="00CF58D3" w:rsidRDefault="00EA729B" w:rsidP="00EA729B">
      <w:pPr>
        <w:autoSpaceDE w:val="0"/>
        <w:autoSpaceDN w:val="0"/>
        <w:adjustRightInd w:val="0"/>
        <w:spacing w:after="0" w:line="240" w:lineRule="auto"/>
        <w:jc w:val="right"/>
        <w:rPr>
          <w:rFonts w:ascii="Times New Roman" w:hAnsi="Times New Roman" w:cs="Times New Roman"/>
        </w:rPr>
      </w:pPr>
      <w:proofErr w:type="spellStart"/>
      <w:r w:rsidRPr="00CF58D3">
        <w:rPr>
          <w:rFonts w:ascii="Times New Roman" w:hAnsi="Times New Roman" w:cs="Times New Roman"/>
        </w:rPr>
        <w:t>Rs</w:t>
      </w:r>
      <w:proofErr w:type="spellEnd"/>
      <w:r w:rsidRPr="00CF58D3">
        <w:rPr>
          <w:rFonts w:ascii="Times New Roman" w:hAnsi="Times New Roman" w:cs="Times New Roman"/>
        </w:rPr>
        <w:t xml:space="preserve"> in Lakhs</w:t>
      </w:r>
    </w:p>
    <w:tbl>
      <w:tblPr>
        <w:tblStyle w:val="TableGrid"/>
        <w:tblW w:w="0" w:type="auto"/>
        <w:tblLook w:val="04A0" w:firstRow="1" w:lastRow="0" w:firstColumn="1" w:lastColumn="0" w:noHBand="0" w:noVBand="1"/>
      </w:tblPr>
      <w:tblGrid>
        <w:gridCol w:w="4225"/>
        <w:gridCol w:w="1710"/>
        <w:gridCol w:w="1710"/>
        <w:gridCol w:w="1705"/>
      </w:tblGrid>
      <w:tr w:rsidR="00E263AC" w:rsidRPr="00CF58D3" w:rsidTr="009443C9">
        <w:tc>
          <w:tcPr>
            <w:tcW w:w="4225" w:type="dxa"/>
          </w:tcPr>
          <w:p w:rsidR="00E263AC" w:rsidRPr="00CF58D3" w:rsidRDefault="00E263AC" w:rsidP="007B50FF">
            <w:pPr>
              <w:autoSpaceDE w:val="0"/>
              <w:autoSpaceDN w:val="0"/>
              <w:adjustRightInd w:val="0"/>
              <w:spacing w:after="0" w:line="240" w:lineRule="auto"/>
              <w:jc w:val="both"/>
              <w:rPr>
                <w:rFonts w:ascii="Times New Roman" w:hAnsi="Times New Roman" w:cs="Times New Roman"/>
              </w:rPr>
            </w:pPr>
            <w:r w:rsidRPr="00CF58D3">
              <w:rPr>
                <w:rFonts w:ascii="Times New Roman" w:hAnsi="Times New Roman" w:cs="Times New Roman"/>
              </w:rPr>
              <w:t>PARTICULARS</w:t>
            </w:r>
          </w:p>
        </w:tc>
        <w:tc>
          <w:tcPr>
            <w:tcW w:w="1710" w:type="dxa"/>
          </w:tcPr>
          <w:p w:rsidR="00E263AC" w:rsidRPr="00CF58D3" w:rsidRDefault="00917616" w:rsidP="00D87BFC">
            <w:pPr>
              <w:spacing w:after="0" w:line="240" w:lineRule="auto"/>
              <w:jc w:val="center"/>
              <w:rPr>
                <w:rFonts w:ascii="Times New Roman" w:hAnsi="Times New Roman" w:cs="Times New Roman"/>
              </w:rPr>
            </w:pPr>
            <w:r w:rsidRPr="00CF58D3">
              <w:rPr>
                <w:rFonts w:ascii="Times New Roman" w:hAnsi="Times New Roman" w:cs="Times New Roman"/>
              </w:rPr>
              <w:t>AS ON 31.12</w:t>
            </w:r>
            <w:r w:rsidR="00E263AC" w:rsidRPr="00CF58D3">
              <w:rPr>
                <w:rFonts w:ascii="Times New Roman" w:hAnsi="Times New Roman" w:cs="Times New Roman"/>
              </w:rPr>
              <w:t>.201</w:t>
            </w:r>
            <w:r w:rsidR="00276245">
              <w:rPr>
                <w:rFonts w:ascii="Times New Roman" w:hAnsi="Times New Roman" w:cs="Times New Roman"/>
              </w:rPr>
              <w:t>9</w:t>
            </w:r>
          </w:p>
        </w:tc>
        <w:tc>
          <w:tcPr>
            <w:tcW w:w="1710" w:type="dxa"/>
          </w:tcPr>
          <w:p w:rsidR="00E263AC" w:rsidRPr="00CF58D3" w:rsidRDefault="002E68EA" w:rsidP="00DE3009">
            <w:pPr>
              <w:spacing w:after="0" w:line="240" w:lineRule="auto"/>
              <w:jc w:val="center"/>
              <w:rPr>
                <w:rFonts w:ascii="Times New Roman" w:hAnsi="Times New Roman" w:cs="Times New Roman"/>
              </w:rPr>
            </w:pPr>
            <w:r w:rsidRPr="00CF58D3">
              <w:rPr>
                <w:rFonts w:ascii="Times New Roman" w:hAnsi="Times New Roman" w:cs="Times New Roman"/>
              </w:rPr>
              <w:t>AS ON 31.03</w:t>
            </w:r>
            <w:r w:rsidR="00276245">
              <w:rPr>
                <w:rFonts w:ascii="Times New Roman" w:hAnsi="Times New Roman" w:cs="Times New Roman"/>
              </w:rPr>
              <w:t>.2020</w:t>
            </w:r>
          </w:p>
        </w:tc>
        <w:tc>
          <w:tcPr>
            <w:tcW w:w="1705" w:type="dxa"/>
          </w:tcPr>
          <w:p w:rsidR="00E263AC" w:rsidRPr="00CF58D3" w:rsidRDefault="002E68EA" w:rsidP="00DE3009">
            <w:pPr>
              <w:spacing w:after="0" w:line="240" w:lineRule="auto"/>
              <w:jc w:val="center"/>
              <w:rPr>
                <w:rFonts w:ascii="Times New Roman" w:hAnsi="Times New Roman" w:cs="Times New Roman"/>
              </w:rPr>
            </w:pPr>
            <w:r w:rsidRPr="00CF58D3">
              <w:rPr>
                <w:rFonts w:ascii="Times New Roman" w:hAnsi="Times New Roman" w:cs="Times New Roman"/>
              </w:rPr>
              <w:t>AS ON 30.06</w:t>
            </w:r>
            <w:r w:rsidR="00276245">
              <w:rPr>
                <w:rFonts w:ascii="Times New Roman" w:hAnsi="Times New Roman" w:cs="Times New Roman"/>
              </w:rPr>
              <w:t>.2020</w:t>
            </w:r>
          </w:p>
        </w:tc>
      </w:tr>
      <w:tr w:rsidR="002E68EA" w:rsidRPr="00CF58D3" w:rsidTr="00B27D9C">
        <w:tc>
          <w:tcPr>
            <w:tcW w:w="4225" w:type="dxa"/>
          </w:tcPr>
          <w:p w:rsidR="002E68EA" w:rsidRPr="00CF58D3" w:rsidRDefault="002E68EA" w:rsidP="002E68EA">
            <w:pPr>
              <w:autoSpaceDE w:val="0"/>
              <w:autoSpaceDN w:val="0"/>
              <w:adjustRightInd w:val="0"/>
              <w:spacing w:after="0" w:line="240" w:lineRule="auto"/>
              <w:jc w:val="both"/>
              <w:rPr>
                <w:rFonts w:ascii="Times New Roman" w:hAnsi="Times New Roman" w:cs="Times New Roman"/>
              </w:rPr>
            </w:pPr>
            <w:r w:rsidRPr="00CF58D3">
              <w:rPr>
                <w:rFonts w:ascii="Times New Roman" w:hAnsi="Times New Roman" w:cs="Times New Roman"/>
              </w:rPr>
              <w:t>Tier 1 Capital</w:t>
            </w:r>
          </w:p>
        </w:tc>
        <w:tc>
          <w:tcPr>
            <w:tcW w:w="1710" w:type="dxa"/>
            <w:vAlign w:val="center"/>
          </w:tcPr>
          <w:p w:rsidR="002E68EA" w:rsidRPr="00CF58D3" w:rsidRDefault="00F35CCC" w:rsidP="00D9611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eastAsia="en-GB" w:bidi="hi-IN"/>
              </w:rPr>
              <w:t>532478</w:t>
            </w:r>
          </w:p>
        </w:tc>
        <w:tc>
          <w:tcPr>
            <w:tcW w:w="1710" w:type="dxa"/>
          </w:tcPr>
          <w:p w:rsidR="002E68EA" w:rsidRPr="00CF58D3" w:rsidRDefault="001E1224" w:rsidP="007B6A3A">
            <w:pPr>
              <w:pStyle w:val="Default"/>
              <w:jc w:val="center"/>
              <w:rPr>
                <w:rFonts w:ascii="Times New Roman" w:hAnsi="Times New Roman" w:cs="Times New Roman"/>
                <w:color w:val="auto"/>
                <w:sz w:val="22"/>
                <w:szCs w:val="22"/>
                <w:lang w:val="en-IN" w:eastAsia="en-IN" w:bidi="hi-IN"/>
              </w:rPr>
            </w:pPr>
            <w:r>
              <w:rPr>
                <w:rFonts w:ascii="Times New Roman" w:hAnsi="Times New Roman"/>
              </w:rPr>
              <w:t>480591</w:t>
            </w:r>
          </w:p>
        </w:tc>
        <w:tc>
          <w:tcPr>
            <w:tcW w:w="1705" w:type="dxa"/>
          </w:tcPr>
          <w:p w:rsidR="002E68EA" w:rsidRPr="00CF58D3" w:rsidRDefault="00B57575" w:rsidP="002E68EA">
            <w:pPr>
              <w:pStyle w:val="Default"/>
              <w:jc w:val="center"/>
              <w:rPr>
                <w:rFonts w:ascii="Times New Roman" w:hAnsi="Times New Roman" w:cs="Times New Roman"/>
                <w:lang w:eastAsia="en-GB" w:bidi="hi-IN"/>
              </w:rPr>
            </w:pPr>
            <w:r>
              <w:rPr>
                <w:rFonts w:ascii="Times New Roman" w:hAnsi="Times New Roman"/>
              </w:rPr>
              <w:t>463632</w:t>
            </w:r>
          </w:p>
        </w:tc>
      </w:tr>
      <w:tr w:rsidR="002E68EA" w:rsidRPr="00CF58D3" w:rsidTr="00B27D9C">
        <w:tc>
          <w:tcPr>
            <w:tcW w:w="4225" w:type="dxa"/>
          </w:tcPr>
          <w:p w:rsidR="002E68EA" w:rsidRPr="00CF58D3" w:rsidRDefault="002E68EA" w:rsidP="002E68EA">
            <w:pPr>
              <w:autoSpaceDE w:val="0"/>
              <w:autoSpaceDN w:val="0"/>
              <w:adjustRightInd w:val="0"/>
              <w:spacing w:after="0" w:line="240" w:lineRule="auto"/>
              <w:jc w:val="both"/>
              <w:rPr>
                <w:rFonts w:ascii="Times New Roman" w:hAnsi="Times New Roman" w:cs="Times New Roman"/>
              </w:rPr>
            </w:pPr>
            <w:r w:rsidRPr="00CF58D3">
              <w:rPr>
                <w:rFonts w:ascii="Times New Roman" w:hAnsi="Times New Roman" w:cs="Times New Roman"/>
              </w:rPr>
              <w:t>Exposure Measure</w:t>
            </w:r>
          </w:p>
        </w:tc>
        <w:tc>
          <w:tcPr>
            <w:tcW w:w="1710" w:type="dxa"/>
            <w:vAlign w:val="center"/>
          </w:tcPr>
          <w:p w:rsidR="002E68EA" w:rsidRPr="00CF58D3" w:rsidRDefault="002E68EA" w:rsidP="00D96112">
            <w:pPr>
              <w:autoSpaceDE w:val="0"/>
              <w:autoSpaceDN w:val="0"/>
              <w:adjustRightInd w:val="0"/>
              <w:spacing w:after="0" w:line="240" w:lineRule="auto"/>
              <w:jc w:val="center"/>
              <w:rPr>
                <w:rFonts w:ascii="Times New Roman" w:hAnsi="Times New Roman" w:cs="Times New Roman"/>
              </w:rPr>
            </w:pPr>
            <w:r w:rsidRPr="00CF58D3">
              <w:rPr>
                <w:rFonts w:ascii="Times New Roman" w:hAnsi="Times New Roman" w:cs="Times New Roman"/>
                <w:lang w:eastAsia="en-GB" w:bidi="hi-IN"/>
              </w:rPr>
              <w:t>1</w:t>
            </w:r>
            <w:r w:rsidR="00F35CCC">
              <w:rPr>
                <w:rFonts w:ascii="Times New Roman" w:hAnsi="Times New Roman" w:cs="Times New Roman"/>
                <w:lang w:eastAsia="en-GB" w:bidi="hi-IN"/>
              </w:rPr>
              <w:t>0732010</w:t>
            </w:r>
          </w:p>
        </w:tc>
        <w:tc>
          <w:tcPr>
            <w:tcW w:w="1710" w:type="dxa"/>
          </w:tcPr>
          <w:p w:rsidR="002E68EA" w:rsidRPr="00CF58D3" w:rsidRDefault="002E68EA" w:rsidP="00F85A9C">
            <w:pPr>
              <w:pStyle w:val="Default"/>
              <w:jc w:val="center"/>
              <w:rPr>
                <w:rFonts w:ascii="Times New Roman" w:hAnsi="Times New Roman" w:cs="Times New Roman"/>
                <w:color w:val="auto"/>
                <w:sz w:val="22"/>
                <w:szCs w:val="22"/>
                <w:lang w:val="en-IN" w:eastAsia="en-IN" w:bidi="hi-IN"/>
              </w:rPr>
            </w:pPr>
            <w:r w:rsidRPr="00CF58D3">
              <w:rPr>
                <w:rFonts w:ascii="Times New Roman" w:hAnsi="Times New Roman"/>
              </w:rPr>
              <w:t>1</w:t>
            </w:r>
            <w:r w:rsidR="001E1224">
              <w:rPr>
                <w:rFonts w:ascii="Times New Roman" w:hAnsi="Times New Roman"/>
              </w:rPr>
              <w:t>0660431</w:t>
            </w:r>
          </w:p>
        </w:tc>
        <w:tc>
          <w:tcPr>
            <w:tcW w:w="1705" w:type="dxa"/>
          </w:tcPr>
          <w:p w:rsidR="002E68EA" w:rsidRPr="00CF58D3" w:rsidRDefault="002E68EA" w:rsidP="00447706">
            <w:pPr>
              <w:pStyle w:val="Default"/>
              <w:jc w:val="center"/>
              <w:rPr>
                <w:rFonts w:ascii="Times New Roman" w:hAnsi="Times New Roman" w:cs="Times New Roman"/>
                <w:lang w:eastAsia="en-GB" w:bidi="hi-IN"/>
              </w:rPr>
            </w:pPr>
            <w:r w:rsidRPr="00CF58D3">
              <w:rPr>
                <w:rFonts w:ascii="Times New Roman" w:hAnsi="Times New Roman"/>
              </w:rPr>
              <w:t>1</w:t>
            </w:r>
            <w:r w:rsidR="00B57575">
              <w:rPr>
                <w:rFonts w:ascii="Times New Roman" w:hAnsi="Times New Roman"/>
              </w:rPr>
              <w:t>0192970</w:t>
            </w:r>
          </w:p>
        </w:tc>
      </w:tr>
      <w:tr w:rsidR="002E68EA" w:rsidRPr="0052557D" w:rsidTr="00B27D9C">
        <w:tc>
          <w:tcPr>
            <w:tcW w:w="4225" w:type="dxa"/>
          </w:tcPr>
          <w:p w:rsidR="002E68EA" w:rsidRPr="00CF58D3" w:rsidRDefault="002E68EA" w:rsidP="002E68EA">
            <w:pPr>
              <w:autoSpaceDE w:val="0"/>
              <w:autoSpaceDN w:val="0"/>
              <w:adjustRightInd w:val="0"/>
              <w:spacing w:after="0" w:line="240" w:lineRule="auto"/>
              <w:jc w:val="both"/>
              <w:rPr>
                <w:rFonts w:ascii="Times New Roman" w:hAnsi="Times New Roman" w:cs="Times New Roman"/>
              </w:rPr>
            </w:pPr>
            <w:r w:rsidRPr="00CF58D3">
              <w:rPr>
                <w:rFonts w:ascii="Times New Roman" w:hAnsi="Times New Roman" w:cs="Times New Roman"/>
              </w:rPr>
              <w:t>Leverage Ratio</w:t>
            </w:r>
          </w:p>
        </w:tc>
        <w:tc>
          <w:tcPr>
            <w:tcW w:w="1710" w:type="dxa"/>
            <w:vAlign w:val="center"/>
          </w:tcPr>
          <w:p w:rsidR="002E68EA" w:rsidRPr="00CF58D3" w:rsidRDefault="008F592E" w:rsidP="00D9611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eastAsia="en-GB" w:bidi="hi-IN"/>
              </w:rPr>
              <w:t>4.96</w:t>
            </w:r>
            <w:r w:rsidR="002E68EA" w:rsidRPr="00CF58D3">
              <w:rPr>
                <w:rFonts w:ascii="Times New Roman" w:hAnsi="Times New Roman" w:cs="Times New Roman"/>
                <w:lang w:eastAsia="en-GB" w:bidi="hi-IN"/>
              </w:rPr>
              <w:t>%</w:t>
            </w:r>
          </w:p>
        </w:tc>
        <w:tc>
          <w:tcPr>
            <w:tcW w:w="1710" w:type="dxa"/>
          </w:tcPr>
          <w:p w:rsidR="002E68EA" w:rsidRPr="00CF58D3" w:rsidRDefault="001A63F8" w:rsidP="00F85A9C">
            <w:pPr>
              <w:autoSpaceDE w:val="0"/>
              <w:autoSpaceDN w:val="0"/>
              <w:adjustRightInd w:val="0"/>
              <w:spacing w:after="0" w:line="240" w:lineRule="auto"/>
              <w:jc w:val="center"/>
              <w:rPr>
                <w:rFonts w:ascii="Times New Roman" w:hAnsi="Times New Roman" w:cs="Times New Roman"/>
              </w:rPr>
            </w:pPr>
            <w:r>
              <w:rPr>
                <w:rFonts w:ascii="Times New Roman" w:hAnsi="Times New Roman"/>
                <w:sz w:val="24"/>
                <w:szCs w:val="24"/>
              </w:rPr>
              <w:t>4.51</w:t>
            </w:r>
            <w:r w:rsidR="002E68EA" w:rsidRPr="00CF58D3">
              <w:rPr>
                <w:rFonts w:ascii="Times New Roman" w:hAnsi="Times New Roman"/>
                <w:sz w:val="24"/>
                <w:szCs w:val="24"/>
              </w:rPr>
              <w:t>%</w:t>
            </w:r>
          </w:p>
        </w:tc>
        <w:tc>
          <w:tcPr>
            <w:tcW w:w="1705" w:type="dxa"/>
          </w:tcPr>
          <w:p w:rsidR="002E68EA" w:rsidRPr="00AA292B" w:rsidRDefault="001A63F8" w:rsidP="00447706">
            <w:pPr>
              <w:pStyle w:val="Default"/>
              <w:jc w:val="center"/>
              <w:rPr>
                <w:rFonts w:ascii="Times New Roman" w:hAnsi="Times New Roman" w:cs="Times New Roman"/>
                <w:lang w:eastAsia="en-GB" w:bidi="hi-IN"/>
              </w:rPr>
            </w:pPr>
            <w:r>
              <w:rPr>
                <w:rFonts w:ascii="Times New Roman" w:hAnsi="Times New Roman"/>
              </w:rPr>
              <w:t>4.55</w:t>
            </w:r>
            <w:r w:rsidR="002E68EA" w:rsidRPr="00CF58D3">
              <w:rPr>
                <w:rFonts w:ascii="Times New Roman" w:hAnsi="Times New Roman"/>
              </w:rPr>
              <w:t>%</w:t>
            </w:r>
          </w:p>
        </w:tc>
      </w:tr>
    </w:tbl>
    <w:p w:rsidR="007344A8" w:rsidRPr="0052557D" w:rsidRDefault="007344A8" w:rsidP="007B50FF">
      <w:pPr>
        <w:jc w:val="both"/>
        <w:rPr>
          <w:rFonts w:ascii="Times New Roman" w:hAnsi="Times New Roman" w:cs="Times New Roman"/>
        </w:rPr>
      </w:pPr>
    </w:p>
    <w:p w:rsidR="00ED04C5" w:rsidRPr="0052557D" w:rsidRDefault="00D2646D" w:rsidP="007344A8">
      <w:pPr>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p>
    <w:sectPr w:rsidR="00ED04C5" w:rsidRPr="0052557D" w:rsidSect="009711E9">
      <w:pgSz w:w="12240" w:h="15840"/>
      <w:pgMar w:top="126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95" w:rsidRDefault="00295195" w:rsidP="00435FD9">
      <w:pPr>
        <w:spacing w:after="0" w:line="240" w:lineRule="auto"/>
      </w:pPr>
      <w:r>
        <w:separator/>
      </w:r>
    </w:p>
  </w:endnote>
  <w:endnote w:type="continuationSeparator" w:id="0">
    <w:p w:rsidR="00295195" w:rsidRDefault="00295195" w:rsidP="0043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DE" w:rsidRDefault="002A7ADE" w:rsidP="0090379F">
    <w:pPr>
      <w:pStyle w:val="Footer"/>
      <w:pBdr>
        <w:top w:val="thinThickSmallGap" w:sz="24" w:space="1" w:color="622423" w:themeColor="accent2" w:themeShade="7F"/>
      </w:pBdr>
      <w:rPr>
        <w:rFonts w:asciiTheme="majorHAnsi" w:hAnsiTheme="majorHAnsi"/>
      </w:rPr>
    </w:pPr>
    <w:r>
      <w:rPr>
        <w:rFonts w:asciiTheme="majorHAnsi" w:hAnsiTheme="majorHAnsi"/>
      </w:rPr>
      <w:t>BASEL III DISCLOSURES –QUARTER ENDED 30th JUNE 2020</w:t>
    </w:r>
    <w:r>
      <w:rPr>
        <w:rFonts w:asciiTheme="majorHAnsi" w:hAnsiTheme="majorHAnsi"/>
      </w:rPr>
      <w:ptab w:relativeTo="margin" w:alignment="right" w:leader="none"/>
    </w:r>
    <w:r>
      <w:rPr>
        <w:rFonts w:asciiTheme="majorHAnsi" w:hAnsiTheme="majorHAnsi"/>
      </w:rPr>
      <w:t xml:space="preserve">Page </w:t>
    </w:r>
    <w:r>
      <w:rPr>
        <w:rFonts w:asciiTheme="minorHAnsi" w:hAnsiTheme="minorHAnsi"/>
      </w:rPr>
      <w:fldChar w:fldCharType="begin"/>
    </w:r>
    <w:r>
      <w:instrText xml:space="preserve"> PAGE   \* MERGEFORMAT </w:instrText>
    </w:r>
    <w:r>
      <w:rPr>
        <w:rFonts w:asciiTheme="minorHAnsi" w:hAnsiTheme="minorHAnsi"/>
      </w:rPr>
      <w:fldChar w:fldCharType="separate"/>
    </w:r>
    <w:r w:rsidR="00812A66" w:rsidRPr="00812A66">
      <w:rPr>
        <w:rFonts w:asciiTheme="majorHAnsi" w:hAnsiTheme="majorHAnsi"/>
        <w:noProof/>
      </w:rPr>
      <w:t>17</w:t>
    </w:r>
    <w:r>
      <w:rPr>
        <w:rFonts w:asciiTheme="majorHAnsi" w:hAnsiTheme="majorHAnsi"/>
        <w:noProof/>
      </w:rPr>
      <w:fldChar w:fldCharType="end"/>
    </w:r>
  </w:p>
  <w:p w:rsidR="002A7ADE" w:rsidRDefault="002A7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DE" w:rsidRDefault="002A7ADE">
    <w:pPr>
      <w:pStyle w:val="Footer"/>
      <w:pBdr>
        <w:top w:val="thinThickSmallGap" w:sz="24" w:space="1" w:color="622423" w:themeColor="accent2" w:themeShade="7F"/>
      </w:pBdr>
      <w:rPr>
        <w:rFonts w:asciiTheme="majorHAnsi" w:hAnsiTheme="majorHAnsi"/>
      </w:rPr>
    </w:pPr>
    <w:r>
      <w:rPr>
        <w:rFonts w:asciiTheme="majorHAnsi" w:hAnsiTheme="majorHAnsi"/>
      </w:rPr>
      <w:t>BASEL III DISCLOSURES –QUARTER ENDED 30th JUNE 2020</w:t>
    </w:r>
    <w:r>
      <w:rPr>
        <w:rFonts w:asciiTheme="majorHAnsi" w:hAnsiTheme="majorHAnsi"/>
      </w:rPr>
      <w:ptab w:relativeTo="margin" w:alignment="right" w:leader="none"/>
    </w:r>
    <w:r>
      <w:rPr>
        <w:rFonts w:asciiTheme="majorHAnsi" w:hAnsiTheme="majorHAnsi"/>
      </w:rPr>
      <w:t xml:space="preserve">Page </w:t>
    </w:r>
    <w:r>
      <w:rPr>
        <w:rFonts w:asciiTheme="minorHAnsi" w:hAnsiTheme="minorHAnsi"/>
      </w:rPr>
      <w:fldChar w:fldCharType="begin"/>
    </w:r>
    <w:r>
      <w:instrText xml:space="preserve"> PAGE   \* MERGEFORMAT </w:instrText>
    </w:r>
    <w:r>
      <w:rPr>
        <w:rFonts w:asciiTheme="minorHAnsi" w:hAnsiTheme="minorHAnsi"/>
      </w:rPr>
      <w:fldChar w:fldCharType="separate"/>
    </w:r>
    <w:r w:rsidR="00812A66" w:rsidRPr="00812A66">
      <w:rPr>
        <w:rFonts w:asciiTheme="majorHAnsi" w:hAnsiTheme="majorHAnsi"/>
        <w:noProof/>
      </w:rPr>
      <w:t>18</w:t>
    </w:r>
    <w:r>
      <w:rPr>
        <w:rFonts w:asciiTheme="majorHAnsi" w:hAnsiTheme="majorHAnsi"/>
        <w:noProof/>
      </w:rPr>
      <w:fldChar w:fldCharType="end"/>
    </w:r>
  </w:p>
  <w:p w:rsidR="002A7ADE" w:rsidRDefault="002A7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95" w:rsidRDefault="00295195" w:rsidP="00435FD9">
      <w:pPr>
        <w:spacing w:after="0" w:line="240" w:lineRule="auto"/>
      </w:pPr>
      <w:r>
        <w:separator/>
      </w:r>
    </w:p>
  </w:footnote>
  <w:footnote w:type="continuationSeparator" w:id="0">
    <w:p w:rsidR="00295195" w:rsidRDefault="00295195" w:rsidP="00435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ADE" w:rsidRDefault="002A7ADE">
    <w:pPr>
      <w:pStyle w:val="Header"/>
      <w:jc w:val="center"/>
    </w:pPr>
  </w:p>
  <w:p w:rsidR="002A7ADE" w:rsidRDefault="002A7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987"/>
    <w:multiLevelType w:val="hybridMultilevel"/>
    <w:tmpl w:val="090452EE"/>
    <w:lvl w:ilvl="0" w:tplc="20384B4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9403C9"/>
    <w:multiLevelType w:val="hybridMultilevel"/>
    <w:tmpl w:val="EC3C4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339C7"/>
    <w:multiLevelType w:val="hybridMultilevel"/>
    <w:tmpl w:val="B2A6F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22658"/>
    <w:multiLevelType w:val="hybridMultilevel"/>
    <w:tmpl w:val="5614BF38"/>
    <w:lvl w:ilvl="0" w:tplc="20384B4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223E2D"/>
    <w:multiLevelType w:val="hybridMultilevel"/>
    <w:tmpl w:val="3ED601D0"/>
    <w:lvl w:ilvl="0" w:tplc="DE701C68">
      <w:start w:val="7"/>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3705CE7"/>
    <w:multiLevelType w:val="hybridMultilevel"/>
    <w:tmpl w:val="74E04ECA"/>
    <w:lvl w:ilvl="0" w:tplc="FEE6636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117D87"/>
    <w:multiLevelType w:val="hybridMultilevel"/>
    <w:tmpl w:val="F3F47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B24E8"/>
    <w:multiLevelType w:val="hybridMultilevel"/>
    <w:tmpl w:val="2BBE9D26"/>
    <w:lvl w:ilvl="0" w:tplc="C34CC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9737E"/>
    <w:multiLevelType w:val="hybridMultilevel"/>
    <w:tmpl w:val="0D94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75380"/>
    <w:multiLevelType w:val="hybridMultilevel"/>
    <w:tmpl w:val="50D0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D53FB"/>
    <w:multiLevelType w:val="hybridMultilevel"/>
    <w:tmpl w:val="F48425E8"/>
    <w:lvl w:ilvl="0" w:tplc="FEE66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1355D"/>
    <w:multiLevelType w:val="hybridMultilevel"/>
    <w:tmpl w:val="EC20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63BD4"/>
    <w:multiLevelType w:val="hybridMultilevel"/>
    <w:tmpl w:val="FF02997C"/>
    <w:lvl w:ilvl="0" w:tplc="FEE66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1184C"/>
    <w:multiLevelType w:val="hybridMultilevel"/>
    <w:tmpl w:val="90B02E68"/>
    <w:lvl w:ilvl="0" w:tplc="FEE6636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0404B7"/>
    <w:multiLevelType w:val="hybridMultilevel"/>
    <w:tmpl w:val="3CA0117E"/>
    <w:lvl w:ilvl="0" w:tplc="FEE663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D25E3"/>
    <w:multiLevelType w:val="hybridMultilevel"/>
    <w:tmpl w:val="D94CCE22"/>
    <w:lvl w:ilvl="0" w:tplc="04090001">
      <w:start w:val="1"/>
      <w:numFmt w:val="bullet"/>
      <w:lvlText w:val=""/>
      <w:lvlJc w:val="left"/>
      <w:pPr>
        <w:tabs>
          <w:tab w:val="num" w:pos="1020"/>
        </w:tabs>
        <w:ind w:left="1020" w:hanging="360"/>
      </w:pPr>
      <w:rPr>
        <w:rFonts w:ascii="Symbol" w:hAnsi="Symbol"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6">
    <w:nsid w:val="51C7017A"/>
    <w:multiLevelType w:val="hybridMultilevel"/>
    <w:tmpl w:val="FE36EF4C"/>
    <w:lvl w:ilvl="0" w:tplc="0409000F">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7">
    <w:nsid w:val="5BB02716"/>
    <w:multiLevelType w:val="hybridMultilevel"/>
    <w:tmpl w:val="5308BF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6F47B1"/>
    <w:multiLevelType w:val="hybridMultilevel"/>
    <w:tmpl w:val="6BAAE8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4C58B1"/>
    <w:multiLevelType w:val="hybridMultilevel"/>
    <w:tmpl w:val="863A05D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65900A42"/>
    <w:multiLevelType w:val="hybridMultilevel"/>
    <w:tmpl w:val="8B5E1AF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94E24BD"/>
    <w:multiLevelType w:val="hybridMultilevel"/>
    <w:tmpl w:val="18DAD2F6"/>
    <w:lvl w:ilvl="0" w:tplc="FC8E6820">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BC7995"/>
    <w:multiLevelType w:val="hybridMultilevel"/>
    <w:tmpl w:val="57025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BD1377"/>
    <w:multiLevelType w:val="hybridMultilevel"/>
    <w:tmpl w:val="FC340E2C"/>
    <w:lvl w:ilvl="0" w:tplc="C34CC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071049"/>
    <w:multiLevelType w:val="hybridMultilevel"/>
    <w:tmpl w:val="04D47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925E0F"/>
    <w:multiLevelType w:val="hybridMultilevel"/>
    <w:tmpl w:val="B44A1DF0"/>
    <w:lvl w:ilvl="0" w:tplc="05A601F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5E0B32"/>
    <w:multiLevelType w:val="hybridMultilevel"/>
    <w:tmpl w:val="6E18EE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9"/>
  </w:num>
  <w:num w:numId="3">
    <w:abstractNumId w:val="8"/>
  </w:num>
  <w:num w:numId="4">
    <w:abstractNumId w:val="7"/>
  </w:num>
  <w:num w:numId="5">
    <w:abstractNumId w:val="23"/>
  </w:num>
  <w:num w:numId="6">
    <w:abstractNumId w:val="26"/>
  </w:num>
  <w:num w:numId="7">
    <w:abstractNumId w:val="20"/>
  </w:num>
  <w:num w:numId="8">
    <w:abstractNumId w:val="22"/>
  </w:num>
  <w:num w:numId="9">
    <w:abstractNumId w:val="3"/>
  </w:num>
  <w:num w:numId="10">
    <w:abstractNumId w:val="24"/>
  </w:num>
  <w:num w:numId="11">
    <w:abstractNumId w:val="25"/>
  </w:num>
  <w:num w:numId="12">
    <w:abstractNumId w:val="0"/>
  </w:num>
  <w:num w:numId="13">
    <w:abstractNumId w:val="11"/>
  </w:num>
  <w:num w:numId="14">
    <w:abstractNumId w:val="21"/>
  </w:num>
  <w:num w:numId="15">
    <w:abstractNumId w:val="2"/>
  </w:num>
  <w:num w:numId="16">
    <w:abstractNumId w:val="1"/>
  </w:num>
  <w:num w:numId="17">
    <w:abstractNumId w:val="6"/>
  </w:num>
  <w:num w:numId="18">
    <w:abstractNumId w:val="12"/>
  </w:num>
  <w:num w:numId="19">
    <w:abstractNumId w:val="5"/>
  </w:num>
  <w:num w:numId="20">
    <w:abstractNumId w:val="14"/>
  </w:num>
  <w:num w:numId="21">
    <w:abstractNumId w:val="10"/>
  </w:num>
  <w:num w:numId="22">
    <w:abstractNumId w:val="13"/>
  </w:num>
  <w:num w:numId="23">
    <w:abstractNumId w:val="16"/>
  </w:num>
  <w:num w:numId="24">
    <w:abstractNumId w:val="4"/>
  </w:num>
  <w:num w:numId="25">
    <w:abstractNumId w:val="15"/>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4A"/>
    <w:rsid w:val="000013C0"/>
    <w:rsid w:val="000031F6"/>
    <w:rsid w:val="000053E2"/>
    <w:rsid w:val="00007723"/>
    <w:rsid w:val="000132C7"/>
    <w:rsid w:val="00013CA3"/>
    <w:rsid w:val="000147B0"/>
    <w:rsid w:val="00015070"/>
    <w:rsid w:val="000163B7"/>
    <w:rsid w:val="00022478"/>
    <w:rsid w:val="000274D3"/>
    <w:rsid w:val="0003005D"/>
    <w:rsid w:val="00034129"/>
    <w:rsid w:val="00034A5E"/>
    <w:rsid w:val="00036785"/>
    <w:rsid w:val="00036929"/>
    <w:rsid w:val="00040909"/>
    <w:rsid w:val="000440E0"/>
    <w:rsid w:val="00046982"/>
    <w:rsid w:val="00047D14"/>
    <w:rsid w:val="00052966"/>
    <w:rsid w:val="00055041"/>
    <w:rsid w:val="00055AA2"/>
    <w:rsid w:val="00060D88"/>
    <w:rsid w:val="00060FC6"/>
    <w:rsid w:val="00061E13"/>
    <w:rsid w:val="000628F9"/>
    <w:rsid w:val="00064B3B"/>
    <w:rsid w:val="00066136"/>
    <w:rsid w:val="000725A4"/>
    <w:rsid w:val="0007498D"/>
    <w:rsid w:val="00077695"/>
    <w:rsid w:val="000814DC"/>
    <w:rsid w:val="0008768A"/>
    <w:rsid w:val="0009030C"/>
    <w:rsid w:val="00092783"/>
    <w:rsid w:val="00094B94"/>
    <w:rsid w:val="00095368"/>
    <w:rsid w:val="000A08B1"/>
    <w:rsid w:val="000A2A35"/>
    <w:rsid w:val="000A32EA"/>
    <w:rsid w:val="000B0259"/>
    <w:rsid w:val="000B240E"/>
    <w:rsid w:val="000B5A7C"/>
    <w:rsid w:val="000B705C"/>
    <w:rsid w:val="000B74A3"/>
    <w:rsid w:val="000B7515"/>
    <w:rsid w:val="000B7651"/>
    <w:rsid w:val="000C38CE"/>
    <w:rsid w:val="000C761D"/>
    <w:rsid w:val="000D0A4A"/>
    <w:rsid w:val="000D1C3A"/>
    <w:rsid w:val="000D4A19"/>
    <w:rsid w:val="000E1294"/>
    <w:rsid w:val="000E18BD"/>
    <w:rsid w:val="000E219F"/>
    <w:rsid w:val="000E3228"/>
    <w:rsid w:val="000E4909"/>
    <w:rsid w:val="000E66CC"/>
    <w:rsid w:val="000F1D0C"/>
    <w:rsid w:val="000F3C18"/>
    <w:rsid w:val="000F7236"/>
    <w:rsid w:val="001038F0"/>
    <w:rsid w:val="001043B3"/>
    <w:rsid w:val="0011088C"/>
    <w:rsid w:val="00117092"/>
    <w:rsid w:val="00117E13"/>
    <w:rsid w:val="00120CED"/>
    <w:rsid w:val="00120F62"/>
    <w:rsid w:val="00124B02"/>
    <w:rsid w:val="00126604"/>
    <w:rsid w:val="00136CD9"/>
    <w:rsid w:val="00137581"/>
    <w:rsid w:val="00137A48"/>
    <w:rsid w:val="0014663C"/>
    <w:rsid w:val="00146C6D"/>
    <w:rsid w:val="00152893"/>
    <w:rsid w:val="00157895"/>
    <w:rsid w:val="00161697"/>
    <w:rsid w:val="001662E1"/>
    <w:rsid w:val="00171550"/>
    <w:rsid w:val="001769B4"/>
    <w:rsid w:val="00177D0B"/>
    <w:rsid w:val="00181737"/>
    <w:rsid w:val="0018177D"/>
    <w:rsid w:val="0018314A"/>
    <w:rsid w:val="001831A7"/>
    <w:rsid w:val="0018412D"/>
    <w:rsid w:val="00191387"/>
    <w:rsid w:val="00191B4A"/>
    <w:rsid w:val="00194AA4"/>
    <w:rsid w:val="00196ED8"/>
    <w:rsid w:val="001A63F8"/>
    <w:rsid w:val="001A64D4"/>
    <w:rsid w:val="001A797E"/>
    <w:rsid w:val="001B07C5"/>
    <w:rsid w:val="001B1BF6"/>
    <w:rsid w:val="001B1C2A"/>
    <w:rsid w:val="001B4183"/>
    <w:rsid w:val="001B74A7"/>
    <w:rsid w:val="001C090E"/>
    <w:rsid w:val="001C1B50"/>
    <w:rsid w:val="001C1C99"/>
    <w:rsid w:val="001C27A0"/>
    <w:rsid w:val="001C518A"/>
    <w:rsid w:val="001C571E"/>
    <w:rsid w:val="001C7E3A"/>
    <w:rsid w:val="001D0E2D"/>
    <w:rsid w:val="001E1224"/>
    <w:rsid w:val="001E48DB"/>
    <w:rsid w:val="001E513B"/>
    <w:rsid w:val="001E6BFB"/>
    <w:rsid w:val="001E7B06"/>
    <w:rsid w:val="001F7524"/>
    <w:rsid w:val="00200736"/>
    <w:rsid w:val="0020166A"/>
    <w:rsid w:val="00201E00"/>
    <w:rsid w:val="00203FBA"/>
    <w:rsid w:val="002052EE"/>
    <w:rsid w:val="00207E8E"/>
    <w:rsid w:val="002101E0"/>
    <w:rsid w:val="00212608"/>
    <w:rsid w:val="0021285A"/>
    <w:rsid w:val="00217936"/>
    <w:rsid w:val="0022029F"/>
    <w:rsid w:val="00221990"/>
    <w:rsid w:val="002230AF"/>
    <w:rsid w:val="002318FD"/>
    <w:rsid w:val="00231AC7"/>
    <w:rsid w:val="00232706"/>
    <w:rsid w:val="00234F04"/>
    <w:rsid w:val="0023746D"/>
    <w:rsid w:val="00241746"/>
    <w:rsid w:val="002419EA"/>
    <w:rsid w:val="00246A1A"/>
    <w:rsid w:val="00251781"/>
    <w:rsid w:val="00252421"/>
    <w:rsid w:val="00252C22"/>
    <w:rsid w:val="00264464"/>
    <w:rsid w:val="00265346"/>
    <w:rsid w:val="00273D9F"/>
    <w:rsid w:val="0027425C"/>
    <w:rsid w:val="00275688"/>
    <w:rsid w:val="00276245"/>
    <w:rsid w:val="0027643B"/>
    <w:rsid w:val="00277FA1"/>
    <w:rsid w:val="002800C6"/>
    <w:rsid w:val="00280EBF"/>
    <w:rsid w:val="00283552"/>
    <w:rsid w:val="00284099"/>
    <w:rsid w:val="00287860"/>
    <w:rsid w:val="00292BAC"/>
    <w:rsid w:val="00295195"/>
    <w:rsid w:val="002A3ACE"/>
    <w:rsid w:val="002A3FAE"/>
    <w:rsid w:val="002A578A"/>
    <w:rsid w:val="002A7ADE"/>
    <w:rsid w:val="002B071F"/>
    <w:rsid w:val="002B0AC1"/>
    <w:rsid w:val="002B2AB1"/>
    <w:rsid w:val="002B3740"/>
    <w:rsid w:val="002B3E3E"/>
    <w:rsid w:val="002B5A9C"/>
    <w:rsid w:val="002B5C86"/>
    <w:rsid w:val="002C1BEF"/>
    <w:rsid w:val="002D52CC"/>
    <w:rsid w:val="002D6102"/>
    <w:rsid w:val="002D767A"/>
    <w:rsid w:val="002D7BBA"/>
    <w:rsid w:val="002E388D"/>
    <w:rsid w:val="002E4A9A"/>
    <w:rsid w:val="002E57AE"/>
    <w:rsid w:val="002E68EA"/>
    <w:rsid w:val="002F509D"/>
    <w:rsid w:val="002F5B4E"/>
    <w:rsid w:val="002F6E3F"/>
    <w:rsid w:val="003042B6"/>
    <w:rsid w:val="003230D9"/>
    <w:rsid w:val="00323358"/>
    <w:rsid w:val="003233F3"/>
    <w:rsid w:val="0032354D"/>
    <w:rsid w:val="00323633"/>
    <w:rsid w:val="00333A0C"/>
    <w:rsid w:val="00337467"/>
    <w:rsid w:val="003404CE"/>
    <w:rsid w:val="00341429"/>
    <w:rsid w:val="00357011"/>
    <w:rsid w:val="0035787A"/>
    <w:rsid w:val="003603DB"/>
    <w:rsid w:val="00362055"/>
    <w:rsid w:val="00371401"/>
    <w:rsid w:val="0037277E"/>
    <w:rsid w:val="003751D0"/>
    <w:rsid w:val="00376A15"/>
    <w:rsid w:val="00381132"/>
    <w:rsid w:val="003831C5"/>
    <w:rsid w:val="00383349"/>
    <w:rsid w:val="003848CC"/>
    <w:rsid w:val="00397552"/>
    <w:rsid w:val="00397A6E"/>
    <w:rsid w:val="003A14B4"/>
    <w:rsid w:val="003A33A5"/>
    <w:rsid w:val="003A5A81"/>
    <w:rsid w:val="003A7DFD"/>
    <w:rsid w:val="003B2853"/>
    <w:rsid w:val="003C0485"/>
    <w:rsid w:val="003C44B1"/>
    <w:rsid w:val="003D0A81"/>
    <w:rsid w:val="003D0C71"/>
    <w:rsid w:val="003D38AD"/>
    <w:rsid w:val="003D3A33"/>
    <w:rsid w:val="003E0034"/>
    <w:rsid w:val="003E4D88"/>
    <w:rsid w:val="003E5B62"/>
    <w:rsid w:val="003F1B8D"/>
    <w:rsid w:val="003F5CA0"/>
    <w:rsid w:val="0040461B"/>
    <w:rsid w:val="00404D51"/>
    <w:rsid w:val="0041480E"/>
    <w:rsid w:val="00415BE4"/>
    <w:rsid w:val="004164AD"/>
    <w:rsid w:val="00420613"/>
    <w:rsid w:val="00423FC1"/>
    <w:rsid w:val="00424805"/>
    <w:rsid w:val="00430191"/>
    <w:rsid w:val="004343A3"/>
    <w:rsid w:val="00434DA8"/>
    <w:rsid w:val="004353E7"/>
    <w:rsid w:val="00435FD9"/>
    <w:rsid w:val="00436F22"/>
    <w:rsid w:val="004378E3"/>
    <w:rsid w:val="00444C56"/>
    <w:rsid w:val="00447706"/>
    <w:rsid w:val="00451266"/>
    <w:rsid w:val="004533FC"/>
    <w:rsid w:val="00453B7B"/>
    <w:rsid w:val="004552BC"/>
    <w:rsid w:val="004602B7"/>
    <w:rsid w:val="00462A3D"/>
    <w:rsid w:val="00465FB0"/>
    <w:rsid w:val="004675BF"/>
    <w:rsid w:val="00467C14"/>
    <w:rsid w:val="00473420"/>
    <w:rsid w:val="00480EEB"/>
    <w:rsid w:val="0048145D"/>
    <w:rsid w:val="004816EB"/>
    <w:rsid w:val="00483D10"/>
    <w:rsid w:val="004848A8"/>
    <w:rsid w:val="00486DC5"/>
    <w:rsid w:val="00490416"/>
    <w:rsid w:val="00490C18"/>
    <w:rsid w:val="004924DC"/>
    <w:rsid w:val="00494A70"/>
    <w:rsid w:val="004A2699"/>
    <w:rsid w:val="004A30A6"/>
    <w:rsid w:val="004A4E67"/>
    <w:rsid w:val="004A5EC8"/>
    <w:rsid w:val="004A66AE"/>
    <w:rsid w:val="004A7BF2"/>
    <w:rsid w:val="004B0049"/>
    <w:rsid w:val="004B3951"/>
    <w:rsid w:val="004C036A"/>
    <w:rsid w:val="004C66BE"/>
    <w:rsid w:val="004D041F"/>
    <w:rsid w:val="004E09B1"/>
    <w:rsid w:val="004E10F8"/>
    <w:rsid w:val="004E2233"/>
    <w:rsid w:val="004E2B96"/>
    <w:rsid w:val="004E62E5"/>
    <w:rsid w:val="004E71D0"/>
    <w:rsid w:val="004E7F94"/>
    <w:rsid w:val="004F430E"/>
    <w:rsid w:val="004F4AFA"/>
    <w:rsid w:val="004F61E6"/>
    <w:rsid w:val="004F6480"/>
    <w:rsid w:val="005010D1"/>
    <w:rsid w:val="00501F1D"/>
    <w:rsid w:val="00506FDF"/>
    <w:rsid w:val="00510114"/>
    <w:rsid w:val="00511070"/>
    <w:rsid w:val="005143DC"/>
    <w:rsid w:val="005220CE"/>
    <w:rsid w:val="0052258A"/>
    <w:rsid w:val="00522D14"/>
    <w:rsid w:val="0052557D"/>
    <w:rsid w:val="00527C4D"/>
    <w:rsid w:val="0053204A"/>
    <w:rsid w:val="00532B2B"/>
    <w:rsid w:val="00535269"/>
    <w:rsid w:val="005369CA"/>
    <w:rsid w:val="005425B5"/>
    <w:rsid w:val="005434A5"/>
    <w:rsid w:val="00544051"/>
    <w:rsid w:val="00546A23"/>
    <w:rsid w:val="005512DF"/>
    <w:rsid w:val="00554545"/>
    <w:rsid w:val="005576B6"/>
    <w:rsid w:val="00563F0A"/>
    <w:rsid w:val="00564DA7"/>
    <w:rsid w:val="005667CB"/>
    <w:rsid w:val="00570364"/>
    <w:rsid w:val="00572188"/>
    <w:rsid w:val="00572368"/>
    <w:rsid w:val="00573ADE"/>
    <w:rsid w:val="00575BA4"/>
    <w:rsid w:val="00575BDD"/>
    <w:rsid w:val="00581DBD"/>
    <w:rsid w:val="0058536E"/>
    <w:rsid w:val="005918B2"/>
    <w:rsid w:val="00593A5F"/>
    <w:rsid w:val="00596165"/>
    <w:rsid w:val="005967FA"/>
    <w:rsid w:val="00596953"/>
    <w:rsid w:val="0059759E"/>
    <w:rsid w:val="00597F66"/>
    <w:rsid w:val="005A3078"/>
    <w:rsid w:val="005B0101"/>
    <w:rsid w:val="005B65EE"/>
    <w:rsid w:val="005B65FF"/>
    <w:rsid w:val="005C663A"/>
    <w:rsid w:val="005C70CE"/>
    <w:rsid w:val="005D1AF3"/>
    <w:rsid w:val="005D3F3A"/>
    <w:rsid w:val="005D52C9"/>
    <w:rsid w:val="005D7BE8"/>
    <w:rsid w:val="005E4259"/>
    <w:rsid w:val="005E4503"/>
    <w:rsid w:val="005E6182"/>
    <w:rsid w:val="005E6581"/>
    <w:rsid w:val="005F1502"/>
    <w:rsid w:val="005F285D"/>
    <w:rsid w:val="005F4CAA"/>
    <w:rsid w:val="005F5A6D"/>
    <w:rsid w:val="005F66CD"/>
    <w:rsid w:val="006012A2"/>
    <w:rsid w:val="006065CF"/>
    <w:rsid w:val="00607DE7"/>
    <w:rsid w:val="006127B1"/>
    <w:rsid w:val="00613E9F"/>
    <w:rsid w:val="00614CD2"/>
    <w:rsid w:val="00625400"/>
    <w:rsid w:val="00626946"/>
    <w:rsid w:val="00630DCA"/>
    <w:rsid w:val="0063194F"/>
    <w:rsid w:val="0063570B"/>
    <w:rsid w:val="0063592A"/>
    <w:rsid w:val="006378CA"/>
    <w:rsid w:val="00654A2D"/>
    <w:rsid w:val="00656F0B"/>
    <w:rsid w:val="00666C86"/>
    <w:rsid w:val="006671E7"/>
    <w:rsid w:val="00673F68"/>
    <w:rsid w:val="00676DCA"/>
    <w:rsid w:val="00683A4F"/>
    <w:rsid w:val="00685CC1"/>
    <w:rsid w:val="00687248"/>
    <w:rsid w:val="0069324B"/>
    <w:rsid w:val="0069444B"/>
    <w:rsid w:val="00694758"/>
    <w:rsid w:val="00695E59"/>
    <w:rsid w:val="00697406"/>
    <w:rsid w:val="006A5280"/>
    <w:rsid w:val="006A5850"/>
    <w:rsid w:val="006A7DA1"/>
    <w:rsid w:val="006B20A2"/>
    <w:rsid w:val="006C0042"/>
    <w:rsid w:val="006C2DE7"/>
    <w:rsid w:val="006C2FB1"/>
    <w:rsid w:val="006C3CBA"/>
    <w:rsid w:val="006C57A1"/>
    <w:rsid w:val="006C7A4B"/>
    <w:rsid w:val="006D19C7"/>
    <w:rsid w:val="006D46FD"/>
    <w:rsid w:val="006D778E"/>
    <w:rsid w:val="006E3302"/>
    <w:rsid w:val="006E4435"/>
    <w:rsid w:val="006E4AF3"/>
    <w:rsid w:val="006E6616"/>
    <w:rsid w:val="006E6627"/>
    <w:rsid w:val="006E6ECC"/>
    <w:rsid w:val="006F1FAE"/>
    <w:rsid w:val="006F20B6"/>
    <w:rsid w:val="006F3195"/>
    <w:rsid w:val="006F36BA"/>
    <w:rsid w:val="006F4421"/>
    <w:rsid w:val="006F57BB"/>
    <w:rsid w:val="0070400F"/>
    <w:rsid w:val="00705115"/>
    <w:rsid w:val="0070636B"/>
    <w:rsid w:val="0071592D"/>
    <w:rsid w:val="00715FD1"/>
    <w:rsid w:val="00722A32"/>
    <w:rsid w:val="007239A6"/>
    <w:rsid w:val="0072531B"/>
    <w:rsid w:val="007260DC"/>
    <w:rsid w:val="00727632"/>
    <w:rsid w:val="007344A8"/>
    <w:rsid w:val="0074590B"/>
    <w:rsid w:val="00746337"/>
    <w:rsid w:val="00750026"/>
    <w:rsid w:val="0075337A"/>
    <w:rsid w:val="00753471"/>
    <w:rsid w:val="00753DE9"/>
    <w:rsid w:val="00755403"/>
    <w:rsid w:val="007661A3"/>
    <w:rsid w:val="0076727C"/>
    <w:rsid w:val="00770C30"/>
    <w:rsid w:val="00770F4C"/>
    <w:rsid w:val="00774B5A"/>
    <w:rsid w:val="00777DD5"/>
    <w:rsid w:val="007813F4"/>
    <w:rsid w:val="00785074"/>
    <w:rsid w:val="007865E7"/>
    <w:rsid w:val="0078742B"/>
    <w:rsid w:val="007968CC"/>
    <w:rsid w:val="007A1335"/>
    <w:rsid w:val="007A79F4"/>
    <w:rsid w:val="007A7AD7"/>
    <w:rsid w:val="007A7B05"/>
    <w:rsid w:val="007B1327"/>
    <w:rsid w:val="007B1A16"/>
    <w:rsid w:val="007B1DBF"/>
    <w:rsid w:val="007B50FF"/>
    <w:rsid w:val="007B6A3A"/>
    <w:rsid w:val="007B6C16"/>
    <w:rsid w:val="007C0ACE"/>
    <w:rsid w:val="007C3AFD"/>
    <w:rsid w:val="007C5AFF"/>
    <w:rsid w:val="007C76AA"/>
    <w:rsid w:val="007C7941"/>
    <w:rsid w:val="007D2B95"/>
    <w:rsid w:val="007D46F8"/>
    <w:rsid w:val="007D56A8"/>
    <w:rsid w:val="007D6830"/>
    <w:rsid w:val="007E1F7A"/>
    <w:rsid w:val="007E22C6"/>
    <w:rsid w:val="007E260A"/>
    <w:rsid w:val="007E451E"/>
    <w:rsid w:val="007F290D"/>
    <w:rsid w:val="007F5B66"/>
    <w:rsid w:val="007F6602"/>
    <w:rsid w:val="007F7FEA"/>
    <w:rsid w:val="00801252"/>
    <w:rsid w:val="00812A66"/>
    <w:rsid w:val="00815144"/>
    <w:rsid w:val="00815389"/>
    <w:rsid w:val="00815DCB"/>
    <w:rsid w:val="00816F19"/>
    <w:rsid w:val="00817572"/>
    <w:rsid w:val="00822173"/>
    <w:rsid w:val="00822698"/>
    <w:rsid w:val="008259B3"/>
    <w:rsid w:val="0082648E"/>
    <w:rsid w:val="00830505"/>
    <w:rsid w:val="00830B94"/>
    <w:rsid w:val="00831D08"/>
    <w:rsid w:val="00832E0D"/>
    <w:rsid w:val="00832F75"/>
    <w:rsid w:val="00836DDF"/>
    <w:rsid w:val="00843EC8"/>
    <w:rsid w:val="00843ECE"/>
    <w:rsid w:val="0084621C"/>
    <w:rsid w:val="008468EE"/>
    <w:rsid w:val="00854E19"/>
    <w:rsid w:val="00854F3F"/>
    <w:rsid w:val="00857286"/>
    <w:rsid w:val="0086208D"/>
    <w:rsid w:val="0086273C"/>
    <w:rsid w:val="00864C20"/>
    <w:rsid w:val="00865806"/>
    <w:rsid w:val="0087240C"/>
    <w:rsid w:val="00873555"/>
    <w:rsid w:val="00877713"/>
    <w:rsid w:val="00880989"/>
    <w:rsid w:val="0088587B"/>
    <w:rsid w:val="00890469"/>
    <w:rsid w:val="0089587C"/>
    <w:rsid w:val="00896BF5"/>
    <w:rsid w:val="008A0B50"/>
    <w:rsid w:val="008A216B"/>
    <w:rsid w:val="008A3923"/>
    <w:rsid w:val="008A50AC"/>
    <w:rsid w:val="008A52C2"/>
    <w:rsid w:val="008A630D"/>
    <w:rsid w:val="008B45BE"/>
    <w:rsid w:val="008C47BC"/>
    <w:rsid w:val="008C57C5"/>
    <w:rsid w:val="008C79CC"/>
    <w:rsid w:val="008D1B2A"/>
    <w:rsid w:val="008D3274"/>
    <w:rsid w:val="008D3C37"/>
    <w:rsid w:val="008F489D"/>
    <w:rsid w:val="008F592E"/>
    <w:rsid w:val="00900CEB"/>
    <w:rsid w:val="00901F40"/>
    <w:rsid w:val="00902116"/>
    <w:rsid w:val="0090379F"/>
    <w:rsid w:val="00904EAC"/>
    <w:rsid w:val="00911E46"/>
    <w:rsid w:val="00912E27"/>
    <w:rsid w:val="00916BE4"/>
    <w:rsid w:val="0091755D"/>
    <w:rsid w:val="00917616"/>
    <w:rsid w:val="00921563"/>
    <w:rsid w:val="0092195A"/>
    <w:rsid w:val="0092429D"/>
    <w:rsid w:val="00925C66"/>
    <w:rsid w:val="00927436"/>
    <w:rsid w:val="009277BE"/>
    <w:rsid w:val="00932C05"/>
    <w:rsid w:val="00935589"/>
    <w:rsid w:val="00935C82"/>
    <w:rsid w:val="00940964"/>
    <w:rsid w:val="009416FF"/>
    <w:rsid w:val="009443C9"/>
    <w:rsid w:val="00951465"/>
    <w:rsid w:val="00951660"/>
    <w:rsid w:val="009568CD"/>
    <w:rsid w:val="0095798A"/>
    <w:rsid w:val="00957C47"/>
    <w:rsid w:val="009613C1"/>
    <w:rsid w:val="00967422"/>
    <w:rsid w:val="009711E9"/>
    <w:rsid w:val="00973E59"/>
    <w:rsid w:val="00974654"/>
    <w:rsid w:val="0097489F"/>
    <w:rsid w:val="00975322"/>
    <w:rsid w:val="00975B87"/>
    <w:rsid w:val="00983656"/>
    <w:rsid w:val="00984374"/>
    <w:rsid w:val="009860E5"/>
    <w:rsid w:val="0099034E"/>
    <w:rsid w:val="0099197C"/>
    <w:rsid w:val="00995D43"/>
    <w:rsid w:val="00997958"/>
    <w:rsid w:val="009A074C"/>
    <w:rsid w:val="009A0A53"/>
    <w:rsid w:val="009A1874"/>
    <w:rsid w:val="009A78BE"/>
    <w:rsid w:val="009A7B30"/>
    <w:rsid w:val="009B1396"/>
    <w:rsid w:val="009B15AD"/>
    <w:rsid w:val="009B1F04"/>
    <w:rsid w:val="009B2B43"/>
    <w:rsid w:val="009B4F5C"/>
    <w:rsid w:val="009C2357"/>
    <w:rsid w:val="009C3DAB"/>
    <w:rsid w:val="009C5FF5"/>
    <w:rsid w:val="009C7BDC"/>
    <w:rsid w:val="009D030C"/>
    <w:rsid w:val="009D139C"/>
    <w:rsid w:val="009D39C6"/>
    <w:rsid w:val="009D4558"/>
    <w:rsid w:val="009D5BEB"/>
    <w:rsid w:val="009E528D"/>
    <w:rsid w:val="009E6C4C"/>
    <w:rsid w:val="009F0BB2"/>
    <w:rsid w:val="009F0D46"/>
    <w:rsid w:val="009F1DCC"/>
    <w:rsid w:val="009F3094"/>
    <w:rsid w:val="009F479E"/>
    <w:rsid w:val="009F4962"/>
    <w:rsid w:val="009F4CE2"/>
    <w:rsid w:val="009F5806"/>
    <w:rsid w:val="009F7391"/>
    <w:rsid w:val="00A02DAD"/>
    <w:rsid w:val="00A06CB3"/>
    <w:rsid w:val="00A10FEF"/>
    <w:rsid w:val="00A125FB"/>
    <w:rsid w:val="00A2038C"/>
    <w:rsid w:val="00A2353D"/>
    <w:rsid w:val="00A273D4"/>
    <w:rsid w:val="00A30257"/>
    <w:rsid w:val="00A3103C"/>
    <w:rsid w:val="00A40279"/>
    <w:rsid w:val="00A40B2D"/>
    <w:rsid w:val="00A43104"/>
    <w:rsid w:val="00A516F3"/>
    <w:rsid w:val="00A53996"/>
    <w:rsid w:val="00A7445F"/>
    <w:rsid w:val="00A76CA7"/>
    <w:rsid w:val="00A803CE"/>
    <w:rsid w:val="00A8095A"/>
    <w:rsid w:val="00A80BA9"/>
    <w:rsid w:val="00A86AA7"/>
    <w:rsid w:val="00A97A93"/>
    <w:rsid w:val="00AA14AC"/>
    <w:rsid w:val="00AA1E7A"/>
    <w:rsid w:val="00AA292B"/>
    <w:rsid w:val="00AA3C63"/>
    <w:rsid w:val="00AA712C"/>
    <w:rsid w:val="00AB35E0"/>
    <w:rsid w:val="00AB3753"/>
    <w:rsid w:val="00AB3FB6"/>
    <w:rsid w:val="00AB640B"/>
    <w:rsid w:val="00AB6EDC"/>
    <w:rsid w:val="00AC0FD7"/>
    <w:rsid w:val="00AC3AE2"/>
    <w:rsid w:val="00AC5292"/>
    <w:rsid w:val="00AD3092"/>
    <w:rsid w:val="00AD44D7"/>
    <w:rsid w:val="00AD52A1"/>
    <w:rsid w:val="00AD5544"/>
    <w:rsid w:val="00AE078E"/>
    <w:rsid w:val="00AE1B04"/>
    <w:rsid w:val="00AE1B80"/>
    <w:rsid w:val="00AE1D12"/>
    <w:rsid w:val="00AE20B4"/>
    <w:rsid w:val="00AE3E5A"/>
    <w:rsid w:val="00AF0693"/>
    <w:rsid w:val="00AF3272"/>
    <w:rsid w:val="00AF4983"/>
    <w:rsid w:val="00AF514E"/>
    <w:rsid w:val="00AF5702"/>
    <w:rsid w:val="00AF6D04"/>
    <w:rsid w:val="00B043A6"/>
    <w:rsid w:val="00B05C2E"/>
    <w:rsid w:val="00B05F34"/>
    <w:rsid w:val="00B061EB"/>
    <w:rsid w:val="00B223C7"/>
    <w:rsid w:val="00B22661"/>
    <w:rsid w:val="00B22A5A"/>
    <w:rsid w:val="00B26936"/>
    <w:rsid w:val="00B269EB"/>
    <w:rsid w:val="00B27509"/>
    <w:rsid w:val="00B27D9C"/>
    <w:rsid w:val="00B27FE4"/>
    <w:rsid w:val="00B35DF5"/>
    <w:rsid w:val="00B370E1"/>
    <w:rsid w:val="00B4213E"/>
    <w:rsid w:val="00B43BB5"/>
    <w:rsid w:val="00B440E1"/>
    <w:rsid w:val="00B44AB6"/>
    <w:rsid w:val="00B462E8"/>
    <w:rsid w:val="00B524C2"/>
    <w:rsid w:val="00B524D4"/>
    <w:rsid w:val="00B55CC2"/>
    <w:rsid w:val="00B57575"/>
    <w:rsid w:val="00B57A71"/>
    <w:rsid w:val="00B6109D"/>
    <w:rsid w:val="00B6211A"/>
    <w:rsid w:val="00B62CDD"/>
    <w:rsid w:val="00B62FB6"/>
    <w:rsid w:val="00B65D1D"/>
    <w:rsid w:val="00B66D66"/>
    <w:rsid w:val="00B67203"/>
    <w:rsid w:val="00B67CBE"/>
    <w:rsid w:val="00B70955"/>
    <w:rsid w:val="00B7399A"/>
    <w:rsid w:val="00B75CE6"/>
    <w:rsid w:val="00B766D9"/>
    <w:rsid w:val="00B77284"/>
    <w:rsid w:val="00B80414"/>
    <w:rsid w:val="00B80A87"/>
    <w:rsid w:val="00B852DA"/>
    <w:rsid w:val="00B85596"/>
    <w:rsid w:val="00B85E0A"/>
    <w:rsid w:val="00B86A34"/>
    <w:rsid w:val="00B913F3"/>
    <w:rsid w:val="00B92796"/>
    <w:rsid w:val="00B935E0"/>
    <w:rsid w:val="00B94F8F"/>
    <w:rsid w:val="00B95707"/>
    <w:rsid w:val="00BA0F4F"/>
    <w:rsid w:val="00BA397D"/>
    <w:rsid w:val="00BA72C0"/>
    <w:rsid w:val="00BA7BA9"/>
    <w:rsid w:val="00BB3408"/>
    <w:rsid w:val="00BB34AA"/>
    <w:rsid w:val="00BB362E"/>
    <w:rsid w:val="00BB39F7"/>
    <w:rsid w:val="00BC089F"/>
    <w:rsid w:val="00BC08B7"/>
    <w:rsid w:val="00BC2085"/>
    <w:rsid w:val="00BC4447"/>
    <w:rsid w:val="00BC5255"/>
    <w:rsid w:val="00BC5F5A"/>
    <w:rsid w:val="00BD0F13"/>
    <w:rsid w:val="00BD14A0"/>
    <w:rsid w:val="00BD3320"/>
    <w:rsid w:val="00BD5579"/>
    <w:rsid w:val="00BE1E50"/>
    <w:rsid w:val="00BE23F6"/>
    <w:rsid w:val="00BE45FB"/>
    <w:rsid w:val="00BF3BA6"/>
    <w:rsid w:val="00BF6521"/>
    <w:rsid w:val="00C01173"/>
    <w:rsid w:val="00C145C1"/>
    <w:rsid w:val="00C216EB"/>
    <w:rsid w:val="00C224A3"/>
    <w:rsid w:val="00C22CAD"/>
    <w:rsid w:val="00C23099"/>
    <w:rsid w:val="00C233B4"/>
    <w:rsid w:val="00C26822"/>
    <w:rsid w:val="00C3139C"/>
    <w:rsid w:val="00C3260E"/>
    <w:rsid w:val="00C365F8"/>
    <w:rsid w:val="00C36F81"/>
    <w:rsid w:val="00C379C8"/>
    <w:rsid w:val="00C45A5A"/>
    <w:rsid w:val="00C45CC6"/>
    <w:rsid w:val="00C50244"/>
    <w:rsid w:val="00C503D5"/>
    <w:rsid w:val="00C5215A"/>
    <w:rsid w:val="00C52922"/>
    <w:rsid w:val="00C56426"/>
    <w:rsid w:val="00C57B87"/>
    <w:rsid w:val="00C61DF6"/>
    <w:rsid w:val="00C657B1"/>
    <w:rsid w:val="00C65CF4"/>
    <w:rsid w:val="00C72CAB"/>
    <w:rsid w:val="00C75403"/>
    <w:rsid w:val="00C761A8"/>
    <w:rsid w:val="00C76916"/>
    <w:rsid w:val="00C774A9"/>
    <w:rsid w:val="00C77A4E"/>
    <w:rsid w:val="00C80820"/>
    <w:rsid w:val="00C816FB"/>
    <w:rsid w:val="00C83051"/>
    <w:rsid w:val="00C871BE"/>
    <w:rsid w:val="00C8758F"/>
    <w:rsid w:val="00C92510"/>
    <w:rsid w:val="00C9401C"/>
    <w:rsid w:val="00C9431E"/>
    <w:rsid w:val="00CA1228"/>
    <w:rsid w:val="00CA25E2"/>
    <w:rsid w:val="00CA2937"/>
    <w:rsid w:val="00CA3DAC"/>
    <w:rsid w:val="00CA606B"/>
    <w:rsid w:val="00CB0F63"/>
    <w:rsid w:val="00CB12E7"/>
    <w:rsid w:val="00CB22FF"/>
    <w:rsid w:val="00CC3E81"/>
    <w:rsid w:val="00CC4895"/>
    <w:rsid w:val="00CC6F30"/>
    <w:rsid w:val="00CD1C5A"/>
    <w:rsid w:val="00CD2DA3"/>
    <w:rsid w:val="00CD7253"/>
    <w:rsid w:val="00CE1D9D"/>
    <w:rsid w:val="00CE3949"/>
    <w:rsid w:val="00CF4DAD"/>
    <w:rsid w:val="00CF58D3"/>
    <w:rsid w:val="00D106A6"/>
    <w:rsid w:val="00D14767"/>
    <w:rsid w:val="00D148F8"/>
    <w:rsid w:val="00D17386"/>
    <w:rsid w:val="00D17E08"/>
    <w:rsid w:val="00D2058C"/>
    <w:rsid w:val="00D20E73"/>
    <w:rsid w:val="00D253B4"/>
    <w:rsid w:val="00D2646D"/>
    <w:rsid w:val="00D26D27"/>
    <w:rsid w:val="00D30B22"/>
    <w:rsid w:val="00D33BE4"/>
    <w:rsid w:val="00D34929"/>
    <w:rsid w:val="00D36496"/>
    <w:rsid w:val="00D42730"/>
    <w:rsid w:val="00D44A62"/>
    <w:rsid w:val="00D47240"/>
    <w:rsid w:val="00D50838"/>
    <w:rsid w:val="00D508A3"/>
    <w:rsid w:val="00D548FF"/>
    <w:rsid w:val="00D55901"/>
    <w:rsid w:val="00D60601"/>
    <w:rsid w:val="00D62A4B"/>
    <w:rsid w:val="00D62B59"/>
    <w:rsid w:val="00D635B1"/>
    <w:rsid w:val="00D645E6"/>
    <w:rsid w:val="00D65465"/>
    <w:rsid w:val="00D679DB"/>
    <w:rsid w:val="00D717D4"/>
    <w:rsid w:val="00D73D43"/>
    <w:rsid w:val="00D7417A"/>
    <w:rsid w:val="00D74478"/>
    <w:rsid w:val="00D80AC5"/>
    <w:rsid w:val="00D861E8"/>
    <w:rsid w:val="00D87BFC"/>
    <w:rsid w:val="00D928D3"/>
    <w:rsid w:val="00D96112"/>
    <w:rsid w:val="00D96A0D"/>
    <w:rsid w:val="00D96E7F"/>
    <w:rsid w:val="00D97073"/>
    <w:rsid w:val="00DA36BE"/>
    <w:rsid w:val="00DA4293"/>
    <w:rsid w:val="00DA535C"/>
    <w:rsid w:val="00DA54EE"/>
    <w:rsid w:val="00DA5F4D"/>
    <w:rsid w:val="00DA7453"/>
    <w:rsid w:val="00DB268D"/>
    <w:rsid w:val="00DB4BBF"/>
    <w:rsid w:val="00DB4D35"/>
    <w:rsid w:val="00DB5A23"/>
    <w:rsid w:val="00DC37EC"/>
    <w:rsid w:val="00DC7B13"/>
    <w:rsid w:val="00DD259E"/>
    <w:rsid w:val="00DD2613"/>
    <w:rsid w:val="00DD62EA"/>
    <w:rsid w:val="00DE2DE5"/>
    <w:rsid w:val="00DE3009"/>
    <w:rsid w:val="00DE3F89"/>
    <w:rsid w:val="00DE7A1E"/>
    <w:rsid w:val="00DF4DA7"/>
    <w:rsid w:val="00DF5275"/>
    <w:rsid w:val="00DF5289"/>
    <w:rsid w:val="00DF6E1B"/>
    <w:rsid w:val="00E020F0"/>
    <w:rsid w:val="00E11052"/>
    <w:rsid w:val="00E11630"/>
    <w:rsid w:val="00E150C4"/>
    <w:rsid w:val="00E161D8"/>
    <w:rsid w:val="00E16233"/>
    <w:rsid w:val="00E21541"/>
    <w:rsid w:val="00E2231B"/>
    <w:rsid w:val="00E23452"/>
    <w:rsid w:val="00E263AC"/>
    <w:rsid w:val="00E271A2"/>
    <w:rsid w:val="00E2723A"/>
    <w:rsid w:val="00E27B18"/>
    <w:rsid w:val="00E27D16"/>
    <w:rsid w:val="00E27D52"/>
    <w:rsid w:val="00E302D6"/>
    <w:rsid w:val="00E30672"/>
    <w:rsid w:val="00E3507B"/>
    <w:rsid w:val="00E359CD"/>
    <w:rsid w:val="00E4125E"/>
    <w:rsid w:val="00E4347A"/>
    <w:rsid w:val="00E43D66"/>
    <w:rsid w:val="00E44955"/>
    <w:rsid w:val="00E44C97"/>
    <w:rsid w:val="00E44DE7"/>
    <w:rsid w:val="00E46998"/>
    <w:rsid w:val="00E504E8"/>
    <w:rsid w:val="00E50ADE"/>
    <w:rsid w:val="00E531C5"/>
    <w:rsid w:val="00E5633D"/>
    <w:rsid w:val="00E568EE"/>
    <w:rsid w:val="00E60B77"/>
    <w:rsid w:val="00E62161"/>
    <w:rsid w:val="00E6261C"/>
    <w:rsid w:val="00E6788A"/>
    <w:rsid w:val="00E67DE0"/>
    <w:rsid w:val="00E67E0D"/>
    <w:rsid w:val="00E70F0A"/>
    <w:rsid w:val="00E72C8B"/>
    <w:rsid w:val="00E74F53"/>
    <w:rsid w:val="00E77814"/>
    <w:rsid w:val="00E779F1"/>
    <w:rsid w:val="00E8148C"/>
    <w:rsid w:val="00E82FA5"/>
    <w:rsid w:val="00E84758"/>
    <w:rsid w:val="00E91A06"/>
    <w:rsid w:val="00E9247B"/>
    <w:rsid w:val="00E955C0"/>
    <w:rsid w:val="00E96169"/>
    <w:rsid w:val="00EA1BB2"/>
    <w:rsid w:val="00EA1D3A"/>
    <w:rsid w:val="00EA34D7"/>
    <w:rsid w:val="00EA39EC"/>
    <w:rsid w:val="00EA729B"/>
    <w:rsid w:val="00EB09A0"/>
    <w:rsid w:val="00EB666F"/>
    <w:rsid w:val="00EC266D"/>
    <w:rsid w:val="00EC5D83"/>
    <w:rsid w:val="00ED04C5"/>
    <w:rsid w:val="00ED1104"/>
    <w:rsid w:val="00ED760E"/>
    <w:rsid w:val="00ED7887"/>
    <w:rsid w:val="00EE177C"/>
    <w:rsid w:val="00EE24B8"/>
    <w:rsid w:val="00EE608C"/>
    <w:rsid w:val="00EE630C"/>
    <w:rsid w:val="00EF1692"/>
    <w:rsid w:val="00EF45D9"/>
    <w:rsid w:val="00EF4FE1"/>
    <w:rsid w:val="00EF5D2E"/>
    <w:rsid w:val="00F029AC"/>
    <w:rsid w:val="00F04680"/>
    <w:rsid w:val="00F05229"/>
    <w:rsid w:val="00F11DD9"/>
    <w:rsid w:val="00F13093"/>
    <w:rsid w:val="00F21F31"/>
    <w:rsid w:val="00F2294D"/>
    <w:rsid w:val="00F2316E"/>
    <w:rsid w:val="00F25AE2"/>
    <w:rsid w:val="00F265BE"/>
    <w:rsid w:val="00F26A3A"/>
    <w:rsid w:val="00F26ADC"/>
    <w:rsid w:val="00F27F94"/>
    <w:rsid w:val="00F31042"/>
    <w:rsid w:val="00F34808"/>
    <w:rsid w:val="00F35CCC"/>
    <w:rsid w:val="00F36F44"/>
    <w:rsid w:val="00F423FA"/>
    <w:rsid w:val="00F51B1F"/>
    <w:rsid w:val="00F5393E"/>
    <w:rsid w:val="00F628FB"/>
    <w:rsid w:val="00F62FC3"/>
    <w:rsid w:val="00F634F2"/>
    <w:rsid w:val="00F65B94"/>
    <w:rsid w:val="00F67C9C"/>
    <w:rsid w:val="00F751E9"/>
    <w:rsid w:val="00F75BD0"/>
    <w:rsid w:val="00F778C0"/>
    <w:rsid w:val="00F85A9C"/>
    <w:rsid w:val="00F9161D"/>
    <w:rsid w:val="00F928DA"/>
    <w:rsid w:val="00F93B68"/>
    <w:rsid w:val="00F94EB9"/>
    <w:rsid w:val="00F968D8"/>
    <w:rsid w:val="00FA1460"/>
    <w:rsid w:val="00FA194E"/>
    <w:rsid w:val="00FA206D"/>
    <w:rsid w:val="00FA22E8"/>
    <w:rsid w:val="00FA3768"/>
    <w:rsid w:val="00FA5606"/>
    <w:rsid w:val="00FA7413"/>
    <w:rsid w:val="00FB0649"/>
    <w:rsid w:val="00FB17CB"/>
    <w:rsid w:val="00FB1C19"/>
    <w:rsid w:val="00FC0C52"/>
    <w:rsid w:val="00FC5818"/>
    <w:rsid w:val="00FC58F0"/>
    <w:rsid w:val="00FD2022"/>
    <w:rsid w:val="00FD2074"/>
    <w:rsid w:val="00FD243F"/>
    <w:rsid w:val="00FD4D19"/>
    <w:rsid w:val="00FE13E5"/>
    <w:rsid w:val="00FE2C87"/>
    <w:rsid w:val="00FE387D"/>
    <w:rsid w:val="00FE4106"/>
    <w:rsid w:val="00FE5565"/>
    <w:rsid w:val="00FE6291"/>
    <w:rsid w:val="00FE7DC2"/>
    <w:rsid w:val="00FF10D3"/>
    <w:rsid w:val="00FF4A70"/>
    <w:rsid w:val="00FF4AA9"/>
    <w:rsid w:val="00FF6846"/>
    <w:rsid w:val="00FF7EC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8E5100-8027-46B1-93C1-F3ECE4A6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Mangal"/>
        <w:lang w:val="en-US" w:eastAsia="en-US" w:bidi="p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34"/>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B4A"/>
    <w:rPr>
      <w:rFonts w:eastAsia="Calibri" w:cs="Times New Roman"/>
      <w:sz w:val="22"/>
      <w:szCs w:val="22"/>
      <w:lang w:val="en-GB" w:bidi="ar-SA"/>
    </w:rPr>
  </w:style>
  <w:style w:type="paragraph" w:styleId="PlainText">
    <w:name w:val="Plain Text"/>
    <w:basedOn w:val="Normal"/>
    <w:link w:val="PlainTextChar"/>
    <w:semiHidden/>
    <w:rsid w:val="00191B4A"/>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semiHidden/>
    <w:rsid w:val="00191B4A"/>
    <w:rPr>
      <w:rFonts w:ascii="Courier New" w:eastAsia="Times New Roman" w:hAnsi="Courier New" w:cs="Courier New"/>
      <w:sz w:val="20"/>
      <w:szCs w:val="20"/>
    </w:rPr>
  </w:style>
  <w:style w:type="paragraph" w:styleId="ListParagraph">
    <w:name w:val="List Paragraph"/>
    <w:basedOn w:val="Normal"/>
    <w:uiPriority w:val="34"/>
    <w:qFormat/>
    <w:rsid w:val="006671E7"/>
    <w:pPr>
      <w:ind w:left="720"/>
      <w:contextualSpacing/>
    </w:pPr>
  </w:style>
  <w:style w:type="paragraph" w:styleId="Header">
    <w:name w:val="header"/>
    <w:basedOn w:val="Normal"/>
    <w:link w:val="HeaderChar"/>
    <w:uiPriority w:val="99"/>
    <w:unhideWhenUsed/>
    <w:rsid w:val="00435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D9"/>
  </w:style>
  <w:style w:type="paragraph" w:styleId="Footer">
    <w:name w:val="footer"/>
    <w:basedOn w:val="Normal"/>
    <w:link w:val="FooterChar"/>
    <w:uiPriority w:val="99"/>
    <w:unhideWhenUsed/>
    <w:rsid w:val="00435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D9"/>
  </w:style>
  <w:style w:type="table" w:styleId="TableGrid">
    <w:name w:val="Table Grid"/>
    <w:basedOn w:val="TableNormal"/>
    <w:uiPriority w:val="59"/>
    <w:rsid w:val="004734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4E7F94"/>
    <w:pPr>
      <w:spacing w:before="100" w:beforeAutospacing="1" w:after="115" w:line="240" w:lineRule="auto"/>
    </w:pPr>
    <w:rPr>
      <w:rFonts w:ascii="Times New Roman" w:hAnsi="Times New Roman" w:cs="Times New Roman"/>
      <w:sz w:val="24"/>
      <w:szCs w:val="24"/>
      <w:lang w:bidi="hi-IN"/>
    </w:rPr>
  </w:style>
  <w:style w:type="paragraph" w:customStyle="1" w:styleId="Default">
    <w:name w:val="Default"/>
    <w:rsid w:val="009A0A53"/>
    <w:pPr>
      <w:autoSpaceDE w:val="0"/>
      <w:autoSpaceDN w:val="0"/>
      <w:adjustRightInd w:val="0"/>
    </w:pPr>
    <w:rPr>
      <w:rFonts w:ascii="Arial" w:hAnsi="Arial" w:cs="Arial"/>
      <w:color w:val="000000"/>
      <w:sz w:val="24"/>
      <w:szCs w:val="24"/>
    </w:rPr>
  </w:style>
  <w:style w:type="paragraph" w:customStyle="1" w:styleId="CM3">
    <w:name w:val="CM3"/>
    <w:basedOn w:val="Default"/>
    <w:next w:val="Default"/>
    <w:rsid w:val="00C57B87"/>
    <w:pPr>
      <w:widowControl w:val="0"/>
      <w:spacing w:line="188" w:lineRule="atLeast"/>
    </w:pPr>
    <w:rPr>
      <w:rFonts w:ascii="Helvetica" w:hAnsi="Helvetica" w:cs="Helvetica"/>
      <w:color w:val="auto"/>
      <w:lang w:val="en-IN" w:eastAsia="en-IN" w:bidi="hi-IN"/>
    </w:rPr>
  </w:style>
  <w:style w:type="paragraph" w:styleId="BodyTextIndent2">
    <w:name w:val="Body Text Indent 2"/>
    <w:basedOn w:val="Normal"/>
    <w:link w:val="BodyTextIndent2Char"/>
    <w:rsid w:val="00C57B87"/>
    <w:pPr>
      <w:spacing w:after="0" w:line="240" w:lineRule="auto"/>
      <w:ind w:left="360"/>
      <w:jc w:val="both"/>
    </w:pPr>
    <w:rPr>
      <w:rFonts w:ascii="Book Antiqua" w:hAnsi="Book Antiqua" w:cs="Times New Roman"/>
      <w:sz w:val="20"/>
      <w:szCs w:val="20"/>
      <w:lang w:val="en-GB"/>
    </w:rPr>
  </w:style>
  <w:style w:type="character" w:customStyle="1" w:styleId="BodyTextIndent2Char">
    <w:name w:val="Body Text Indent 2 Char"/>
    <w:basedOn w:val="DefaultParagraphFont"/>
    <w:link w:val="BodyTextIndent2"/>
    <w:rsid w:val="00C57B87"/>
    <w:rPr>
      <w:rFonts w:ascii="Book Antiqua" w:hAnsi="Book Antiqua" w:cs="Times New Roman"/>
      <w:lang w:val="en-GB" w:bidi="ar-SA"/>
    </w:rPr>
  </w:style>
  <w:style w:type="character" w:customStyle="1" w:styleId="apple-converted-space">
    <w:name w:val="apple-converted-space"/>
    <w:basedOn w:val="DefaultParagraphFont"/>
    <w:rsid w:val="00376A15"/>
  </w:style>
  <w:style w:type="paragraph" w:styleId="BalloonText">
    <w:name w:val="Balloon Text"/>
    <w:basedOn w:val="Normal"/>
    <w:link w:val="BalloonTextChar"/>
    <w:uiPriority w:val="99"/>
    <w:semiHidden/>
    <w:unhideWhenUsed/>
    <w:rsid w:val="00283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52"/>
    <w:rPr>
      <w:rFonts w:ascii="Segoe UI" w:hAnsi="Segoe UI" w:cs="Segoe UI"/>
      <w:sz w:val="18"/>
      <w:szCs w:val="18"/>
      <w:lang w:bidi="ar-SA"/>
    </w:rPr>
  </w:style>
  <w:style w:type="character" w:styleId="CommentReference">
    <w:name w:val="annotation reference"/>
    <w:basedOn w:val="DefaultParagraphFont"/>
    <w:uiPriority w:val="99"/>
    <w:semiHidden/>
    <w:unhideWhenUsed/>
    <w:rsid w:val="00AF5702"/>
    <w:rPr>
      <w:sz w:val="16"/>
      <w:szCs w:val="16"/>
    </w:rPr>
  </w:style>
  <w:style w:type="paragraph" w:styleId="CommentText">
    <w:name w:val="annotation text"/>
    <w:basedOn w:val="Normal"/>
    <w:link w:val="CommentTextChar"/>
    <w:uiPriority w:val="99"/>
    <w:semiHidden/>
    <w:unhideWhenUsed/>
    <w:rsid w:val="00AF5702"/>
    <w:pPr>
      <w:spacing w:line="240" w:lineRule="auto"/>
    </w:pPr>
    <w:rPr>
      <w:sz w:val="20"/>
      <w:szCs w:val="20"/>
    </w:rPr>
  </w:style>
  <w:style w:type="character" w:customStyle="1" w:styleId="CommentTextChar">
    <w:name w:val="Comment Text Char"/>
    <w:basedOn w:val="DefaultParagraphFont"/>
    <w:link w:val="CommentText"/>
    <w:uiPriority w:val="99"/>
    <w:semiHidden/>
    <w:rsid w:val="00AF5702"/>
    <w:rPr>
      <w:lang w:bidi="ar-SA"/>
    </w:rPr>
  </w:style>
  <w:style w:type="paragraph" w:styleId="CommentSubject">
    <w:name w:val="annotation subject"/>
    <w:basedOn w:val="CommentText"/>
    <w:next w:val="CommentText"/>
    <w:link w:val="CommentSubjectChar"/>
    <w:uiPriority w:val="99"/>
    <w:semiHidden/>
    <w:unhideWhenUsed/>
    <w:rsid w:val="00AF5702"/>
    <w:rPr>
      <w:b/>
      <w:bCs/>
    </w:rPr>
  </w:style>
  <w:style w:type="character" w:customStyle="1" w:styleId="CommentSubjectChar">
    <w:name w:val="Comment Subject Char"/>
    <w:basedOn w:val="CommentTextChar"/>
    <w:link w:val="CommentSubject"/>
    <w:uiPriority w:val="99"/>
    <w:semiHidden/>
    <w:rsid w:val="00AF5702"/>
    <w:rPr>
      <w:b/>
      <w:bCs/>
      <w:lang w:bidi="ar-SA"/>
    </w:rPr>
  </w:style>
  <w:style w:type="paragraph" w:styleId="BodyText">
    <w:name w:val="Body Text"/>
    <w:basedOn w:val="Normal"/>
    <w:link w:val="BodyTextChar"/>
    <w:uiPriority w:val="99"/>
    <w:rsid w:val="004C66BE"/>
    <w:pPr>
      <w:tabs>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s>
      <w:suppressAutoHyphens/>
      <w:autoSpaceDE w:val="0"/>
      <w:autoSpaceDN w:val="0"/>
      <w:adjustRightInd w:val="0"/>
      <w:spacing w:before="72" w:after="72" w:line="220" w:lineRule="atLeast"/>
      <w:jc w:val="both"/>
      <w:textAlignment w:val="center"/>
    </w:pPr>
    <w:rPr>
      <w:rFonts w:ascii="CG Omega" w:eastAsia="Calibri" w:hAnsi="CG Omega" w:cs="CG Omega"/>
      <w:color w:val="000000"/>
      <w:sz w:val="19"/>
      <w:szCs w:val="19"/>
    </w:rPr>
  </w:style>
  <w:style w:type="character" w:customStyle="1" w:styleId="BodyTextChar">
    <w:name w:val="Body Text Char"/>
    <w:basedOn w:val="DefaultParagraphFont"/>
    <w:link w:val="BodyText"/>
    <w:uiPriority w:val="99"/>
    <w:rsid w:val="004C66BE"/>
    <w:rPr>
      <w:rFonts w:ascii="CG Omega" w:eastAsia="Calibri" w:hAnsi="CG Omega" w:cs="CG Omega"/>
      <w:color w:val="000000"/>
      <w:sz w:val="19"/>
      <w:szCs w:val="19"/>
      <w:lang w:bidi="ar-SA"/>
    </w:rPr>
  </w:style>
  <w:style w:type="character" w:styleId="SubtleEmphasis">
    <w:name w:val="Subtle Emphasis"/>
    <w:basedOn w:val="DefaultParagraphFont"/>
    <w:uiPriority w:val="19"/>
    <w:qFormat/>
    <w:rsid w:val="007865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1004">
      <w:bodyDiv w:val="1"/>
      <w:marLeft w:val="0"/>
      <w:marRight w:val="0"/>
      <w:marTop w:val="0"/>
      <w:marBottom w:val="0"/>
      <w:divBdr>
        <w:top w:val="none" w:sz="0" w:space="0" w:color="auto"/>
        <w:left w:val="none" w:sz="0" w:space="0" w:color="auto"/>
        <w:bottom w:val="none" w:sz="0" w:space="0" w:color="auto"/>
        <w:right w:val="none" w:sz="0" w:space="0" w:color="auto"/>
      </w:divBdr>
    </w:div>
    <w:div w:id="78478990">
      <w:bodyDiv w:val="1"/>
      <w:marLeft w:val="0"/>
      <w:marRight w:val="0"/>
      <w:marTop w:val="0"/>
      <w:marBottom w:val="0"/>
      <w:divBdr>
        <w:top w:val="none" w:sz="0" w:space="0" w:color="auto"/>
        <w:left w:val="none" w:sz="0" w:space="0" w:color="auto"/>
        <w:bottom w:val="none" w:sz="0" w:space="0" w:color="auto"/>
        <w:right w:val="none" w:sz="0" w:space="0" w:color="auto"/>
      </w:divBdr>
    </w:div>
    <w:div w:id="145097507">
      <w:bodyDiv w:val="1"/>
      <w:marLeft w:val="0"/>
      <w:marRight w:val="0"/>
      <w:marTop w:val="0"/>
      <w:marBottom w:val="0"/>
      <w:divBdr>
        <w:top w:val="none" w:sz="0" w:space="0" w:color="auto"/>
        <w:left w:val="none" w:sz="0" w:space="0" w:color="auto"/>
        <w:bottom w:val="none" w:sz="0" w:space="0" w:color="auto"/>
        <w:right w:val="none" w:sz="0" w:space="0" w:color="auto"/>
      </w:divBdr>
    </w:div>
    <w:div w:id="151144269">
      <w:bodyDiv w:val="1"/>
      <w:marLeft w:val="0"/>
      <w:marRight w:val="0"/>
      <w:marTop w:val="0"/>
      <w:marBottom w:val="0"/>
      <w:divBdr>
        <w:top w:val="none" w:sz="0" w:space="0" w:color="auto"/>
        <w:left w:val="none" w:sz="0" w:space="0" w:color="auto"/>
        <w:bottom w:val="none" w:sz="0" w:space="0" w:color="auto"/>
        <w:right w:val="none" w:sz="0" w:space="0" w:color="auto"/>
      </w:divBdr>
    </w:div>
    <w:div w:id="188302235">
      <w:bodyDiv w:val="1"/>
      <w:marLeft w:val="0"/>
      <w:marRight w:val="0"/>
      <w:marTop w:val="0"/>
      <w:marBottom w:val="0"/>
      <w:divBdr>
        <w:top w:val="none" w:sz="0" w:space="0" w:color="auto"/>
        <w:left w:val="none" w:sz="0" w:space="0" w:color="auto"/>
        <w:bottom w:val="none" w:sz="0" w:space="0" w:color="auto"/>
        <w:right w:val="none" w:sz="0" w:space="0" w:color="auto"/>
      </w:divBdr>
    </w:div>
    <w:div w:id="203714846">
      <w:bodyDiv w:val="1"/>
      <w:marLeft w:val="0"/>
      <w:marRight w:val="0"/>
      <w:marTop w:val="0"/>
      <w:marBottom w:val="0"/>
      <w:divBdr>
        <w:top w:val="none" w:sz="0" w:space="0" w:color="auto"/>
        <w:left w:val="none" w:sz="0" w:space="0" w:color="auto"/>
        <w:bottom w:val="none" w:sz="0" w:space="0" w:color="auto"/>
        <w:right w:val="none" w:sz="0" w:space="0" w:color="auto"/>
      </w:divBdr>
    </w:div>
    <w:div w:id="207689012">
      <w:bodyDiv w:val="1"/>
      <w:marLeft w:val="0"/>
      <w:marRight w:val="0"/>
      <w:marTop w:val="0"/>
      <w:marBottom w:val="0"/>
      <w:divBdr>
        <w:top w:val="none" w:sz="0" w:space="0" w:color="auto"/>
        <w:left w:val="none" w:sz="0" w:space="0" w:color="auto"/>
        <w:bottom w:val="none" w:sz="0" w:space="0" w:color="auto"/>
        <w:right w:val="none" w:sz="0" w:space="0" w:color="auto"/>
      </w:divBdr>
    </w:div>
    <w:div w:id="234584178">
      <w:bodyDiv w:val="1"/>
      <w:marLeft w:val="0"/>
      <w:marRight w:val="0"/>
      <w:marTop w:val="0"/>
      <w:marBottom w:val="0"/>
      <w:divBdr>
        <w:top w:val="none" w:sz="0" w:space="0" w:color="auto"/>
        <w:left w:val="none" w:sz="0" w:space="0" w:color="auto"/>
        <w:bottom w:val="none" w:sz="0" w:space="0" w:color="auto"/>
        <w:right w:val="none" w:sz="0" w:space="0" w:color="auto"/>
      </w:divBdr>
    </w:div>
    <w:div w:id="234978648">
      <w:bodyDiv w:val="1"/>
      <w:marLeft w:val="0"/>
      <w:marRight w:val="0"/>
      <w:marTop w:val="0"/>
      <w:marBottom w:val="0"/>
      <w:divBdr>
        <w:top w:val="none" w:sz="0" w:space="0" w:color="auto"/>
        <w:left w:val="none" w:sz="0" w:space="0" w:color="auto"/>
        <w:bottom w:val="none" w:sz="0" w:space="0" w:color="auto"/>
        <w:right w:val="none" w:sz="0" w:space="0" w:color="auto"/>
      </w:divBdr>
    </w:div>
    <w:div w:id="261226847">
      <w:bodyDiv w:val="1"/>
      <w:marLeft w:val="0"/>
      <w:marRight w:val="0"/>
      <w:marTop w:val="0"/>
      <w:marBottom w:val="0"/>
      <w:divBdr>
        <w:top w:val="none" w:sz="0" w:space="0" w:color="auto"/>
        <w:left w:val="none" w:sz="0" w:space="0" w:color="auto"/>
        <w:bottom w:val="none" w:sz="0" w:space="0" w:color="auto"/>
        <w:right w:val="none" w:sz="0" w:space="0" w:color="auto"/>
      </w:divBdr>
    </w:div>
    <w:div w:id="261837132">
      <w:bodyDiv w:val="1"/>
      <w:marLeft w:val="0"/>
      <w:marRight w:val="0"/>
      <w:marTop w:val="0"/>
      <w:marBottom w:val="0"/>
      <w:divBdr>
        <w:top w:val="none" w:sz="0" w:space="0" w:color="auto"/>
        <w:left w:val="none" w:sz="0" w:space="0" w:color="auto"/>
        <w:bottom w:val="none" w:sz="0" w:space="0" w:color="auto"/>
        <w:right w:val="none" w:sz="0" w:space="0" w:color="auto"/>
      </w:divBdr>
    </w:div>
    <w:div w:id="264968484">
      <w:bodyDiv w:val="1"/>
      <w:marLeft w:val="0"/>
      <w:marRight w:val="0"/>
      <w:marTop w:val="0"/>
      <w:marBottom w:val="0"/>
      <w:divBdr>
        <w:top w:val="none" w:sz="0" w:space="0" w:color="auto"/>
        <w:left w:val="none" w:sz="0" w:space="0" w:color="auto"/>
        <w:bottom w:val="none" w:sz="0" w:space="0" w:color="auto"/>
        <w:right w:val="none" w:sz="0" w:space="0" w:color="auto"/>
      </w:divBdr>
    </w:div>
    <w:div w:id="275218212">
      <w:bodyDiv w:val="1"/>
      <w:marLeft w:val="0"/>
      <w:marRight w:val="0"/>
      <w:marTop w:val="0"/>
      <w:marBottom w:val="0"/>
      <w:divBdr>
        <w:top w:val="none" w:sz="0" w:space="0" w:color="auto"/>
        <w:left w:val="none" w:sz="0" w:space="0" w:color="auto"/>
        <w:bottom w:val="none" w:sz="0" w:space="0" w:color="auto"/>
        <w:right w:val="none" w:sz="0" w:space="0" w:color="auto"/>
      </w:divBdr>
    </w:div>
    <w:div w:id="352877909">
      <w:bodyDiv w:val="1"/>
      <w:marLeft w:val="0"/>
      <w:marRight w:val="0"/>
      <w:marTop w:val="0"/>
      <w:marBottom w:val="0"/>
      <w:divBdr>
        <w:top w:val="none" w:sz="0" w:space="0" w:color="auto"/>
        <w:left w:val="none" w:sz="0" w:space="0" w:color="auto"/>
        <w:bottom w:val="none" w:sz="0" w:space="0" w:color="auto"/>
        <w:right w:val="none" w:sz="0" w:space="0" w:color="auto"/>
      </w:divBdr>
    </w:div>
    <w:div w:id="355543240">
      <w:bodyDiv w:val="1"/>
      <w:marLeft w:val="0"/>
      <w:marRight w:val="0"/>
      <w:marTop w:val="0"/>
      <w:marBottom w:val="0"/>
      <w:divBdr>
        <w:top w:val="none" w:sz="0" w:space="0" w:color="auto"/>
        <w:left w:val="none" w:sz="0" w:space="0" w:color="auto"/>
        <w:bottom w:val="none" w:sz="0" w:space="0" w:color="auto"/>
        <w:right w:val="none" w:sz="0" w:space="0" w:color="auto"/>
      </w:divBdr>
    </w:div>
    <w:div w:id="372075720">
      <w:bodyDiv w:val="1"/>
      <w:marLeft w:val="0"/>
      <w:marRight w:val="0"/>
      <w:marTop w:val="0"/>
      <w:marBottom w:val="0"/>
      <w:divBdr>
        <w:top w:val="none" w:sz="0" w:space="0" w:color="auto"/>
        <w:left w:val="none" w:sz="0" w:space="0" w:color="auto"/>
        <w:bottom w:val="none" w:sz="0" w:space="0" w:color="auto"/>
        <w:right w:val="none" w:sz="0" w:space="0" w:color="auto"/>
      </w:divBdr>
    </w:div>
    <w:div w:id="438335221">
      <w:bodyDiv w:val="1"/>
      <w:marLeft w:val="0"/>
      <w:marRight w:val="0"/>
      <w:marTop w:val="0"/>
      <w:marBottom w:val="0"/>
      <w:divBdr>
        <w:top w:val="none" w:sz="0" w:space="0" w:color="auto"/>
        <w:left w:val="none" w:sz="0" w:space="0" w:color="auto"/>
        <w:bottom w:val="none" w:sz="0" w:space="0" w:color="auto"/>
        <w:right w:val="none" w:sz="0" w:space="0" w:color="auto"/>
      </w:divBdr>
    </w:div>
    <w:div w:id="458308577">
      <w:bodyDiv w:val="1"/>
      <w:marLeft w:val="0"/>
      <w:marRight w:val="0"/>
      <w:marTop w:val="0"/>
      <w:marBottom w:val="0"/>
      <w:divBdr>
        <w:top w:val="none" w:sz="0" w:space="0" w:color="auto"/>
        <w:left w:val="none" w:sz="0" w:space="0" w:color="auto"/>
        <w:bottom w:val="none" w:sz="0" w:space="0" w:color="auto"/>
        <w:right w:val="none" w:sz="0" w:space="0" w:color="auto"/>
      </w:divBdr>
    </w:div>
    <w:div w:id="470371618">
      <w:bodyDiv w:val="1"/>
      <w:marLeft w:val="0"/>
      <w:marRight w:val="0"/>
      <w:marTop w:val="0"/>
      <w:marBottom w:val="0"/>
      <w:divBdr>
        <w:top w:val="none" w:sz="0" w:space="0" w:color="auto"/>
        <w:left w:val="none" w:sz="0" w:space="0" w:color="auto"/>
        <w:bottom w:val="none" w:sz="0" w:space="0" w:color="auto"/>
        <w:right w:val="none" w:sz="0" w:space="0" w:color="auto"/>
      </w:divBdr>
    </w:div>
    <w:div w:id="518005215">
      <w:bodyDiv w:val="1"/>
      <w:marLeft w:val="0"/>
      <w:marRight w:val="0"/>
      <w:marTop w:val="0"/>
      <w:marBottom w:val="0"/>
      <w:divBdr>
        <w:top w:val="none" w:sz="0" w:space="0" w:color="auto"/>
        <w:left w:val="none" w:sz="0" w:space="0" w:color="auto"/>
        <w:bottom w:val="none" w:sz="0" w:space="0" w:color="auto"/>
        <w:right w:val="none" w:sz="0" w:space="0" w:color="auto"/>
      </w:divBdr>
    </w:div>
    <w:div w:id="524756384">
      <w:bodyDiv w:val="1"/>
      <w:marLeft w:val="0"/>
      <w:marRight w:val="0"/>
      <w:marTop w:val="0"/>
      <w:marBottom w:val="0"/>
      <w:divBdr>
        <w:top w:val="none" w:sz="0" w:space="0" w:color="auto"/>
        <w:left w:val="none" w:sz="0" w:space="0" w:color="auto"/>
        <w:bottom w:val="none" w:sz="0" w:space="0" w:color="auto"/>
        <w:right w:val="none" w:sz="0" w:space="0" w:color="auto"/>
      </w:divBdr>
    </w:div>
    <w:div w:id="531461050">
      <w:bodyDiv w:val="1"/>
      <w:marLeft w:val="0"/>
      <w:marRight w:val="0"/>
      <w:marTop w:val="0"/>
      <w:marBottom w:val="0"/>
      <w:divBdr>
        <w:top w:val="none" w:sz="0" w:space="0" w:color="auto"/>
        <w:left w:val="none" w:sz="0" w:space="0" w:color="auto"/>
        <w:bottom w:val="none" w:sz="0" w:space="0" w:color="auto"/>
        <w:right w:val="none" w:sz="0" w:space="0" w:color="auto"/>
      </w:divBdr>
    </w:div>
    <w:div w:id="544758042">
      <w:bodyDiv w:val="1"/>
      <w:marLeft w:val="0"/>
      <w:marRight w:val="0"/>
      <w:marTop w:val="0"/>
      <w:marBottom w:val="0"/>
      <w:divBdr>
        <w:top w:val="none" w:sz="0" w:space="0" w:color="auto"/>
        <w:left w:val="none" w:sz="0" w:space="0" w:color="auto"/>
        <w:bottom w:val="none" w:sz="0" w:space="0" w:color="auto"/>
        <w:right w:val="none" w:sz="0" w:space="0" w:color="auto"/>
      </w:divBdr>
    </w:div>
    <w:div w:id="621811704">
      <w:bodyDiv w:val="1"/>
      <w:marLeft w:val="0"/>
      <w:marRight w:val="0"/>
      <w:marTop w:val="0"/>
      <w:marBottom w:val="0"/>
      <w:divBdr>
        <w:top w:val="none" w:sz="0" w:space="0" w:color="auto"/>
        <w:left w:val="none" w:sz="0" w:space="0" w:color="auto"/>
        <w:bottom w:val="none" w:sz="0" w:space="0" w:color="auto"/>
        <w:right w:val="none" w:sz="0" w:space="0" w:color="auto"/>
      </w:divBdr>
    </w:div>
    <w:div w:id="630283249">
      <w:bodyDiv w:val="1"/>
      <w:marLeft w:val="0"/>
      <w:marRight w:val="0"/>
      <w:marTop w:val="0"/>
      <w:marBottom w:val="0"/>
      <w:divBdr>
        <w:top w:val="none" w:sz="0" w:space="0" w:color="auto"/>
        <w:left w:val="none" w:sz="0" w:space="0" w:color="auto"/>
        <w:bottom w:val="none" w:sz="0" w:space="0" w:color="auto"/>
        <w:right w:val="none" w:sz="0" w:space="0" w:color="auto"/>
      </w:divBdr>
    </w:div>
    <w:div w:id="636180046">
      <w:bodyDiv w:val="1"/>
      <w:marLeft w:val="0"/>
      <w:marRight w:val="0"/>
      <w:marTop w:val="0"/>
      <w:marBottom w:val="0"/>
      <w:divBdr>
        <w:top w:val="none" w:sz="0" w:space="0" w:color="auto"/>
        <w:left w:val="none" w:sz="0" w:space="0" w:color="auto"/>
        <w:bottom w:val="none" w:sz="0" w:space="0" w:color="auto"/>
        <w:right w:val="none" w:sz="0" w:space="0" w:color="auto"/>
      </w:divBdr>
    </w:div>
    <w:div w:id="681081656">
      <w:bodyDiv w:val="1"/>
      <w:marLeft w:val="0"/>
      <w:marRight w:val="0"/>
      <w:marTop w:val="0"/>
      <w:marBottom w:val="0"/>
      <w:divBdr>
        <w:top w:val="none" w:sz="0" w:space="0" w:color="auto"/>
        <w:left w:val="none" w:sz="0" w:space="0" w:color="auto"/>
        <w:bottom w:val="none" w:sz="0" w:space="0" w:color="auto"/>
        <w:right w:val="none" w:sz="0" w:space="0" w:color="auto"/>
      </w:divBdr>
    </w:div>
    <w:div w:id="722100262">
      <w:bodyDiv w:val="1"/>
      <w:marLeft w:val="0"/>
      <w:marRight w:val="0"/>
      <w:marTop w:val="0"/>
      <w:marBottom w:val="0"/>
      <w:divBdr>
        <w:top w:val="none" w:sz="0" w:space="0" w:color="auto"/>
        <w:left w:val="none" w:sz="0" w:space="0" w:color="auto"/>
        <w:bottom w:val="none" w:sz="0" w:space="0" w:color="auto"/>
        <w:right w:val="none" w:sz="0" w:space="0" w:color="auto"/>
      </w:divBdr>
    </w:div>
    <w:div w:id="786313567">
      <w:bodyDiv w:val="1"/>
      <w:marLeft w:val="0"/>
      <w:marRight w:val="0"/>
      <w:marTop w:val="0"/>
      <w:marBottom w:val="0"/>
      <w:divBdr>
        <w:top w:val="none" w:sz="0" w:space="0" w:color="auto"/>
        <w:left w:val="none" w:sz="0" w:space="0" w:color="auto"/>
        <w:bottom w:val="none" w:sz="0" w:space="0" w:color="auto"/>
        <w:right w:val="none" w:sz="0" w:space="0" w:color="auto"/>
      </w:divBdr>
    </w:div>
    <w:div w:id="812453834">
      <w:bodyDiv w:val="1"/>
      <w:marLeft w:val="0"/>
      <w:marRight w:val="0"/>
      <w:marTop w:val="0"/>
      <w:marBottom w:val="0"/>
      <w:divBdr>
        <w:top w:val="none" w:sz="0" w:space="0" w:color="auto"/>
        <w:left w:val="none" w:sz="0" w:space="0" w:color="auto"/>
        <w:bottom w:val="none" w:sz="0" w:space="0" w:color="auto"/>
        <w:right w:val="none" w:sz="0" w:space="0" w:color="auto"/>
      </w:divBdr>
    </w:div>
    <w:div w:id="820003230">
      <w:bodyDiv w:val="1"/>
      <w:marLeft w:val="0"/>
      <w:marRight w:val="0"/>
      <w:marTop w:val="0"/>
      <w:marBottom w:val="0"/>
      <w:divBdr>
        <w:top w:val="none" w:sz="0" w:space="0" w:color="auto"/>
        <w:left w:val="none" w:sz="0" w:space="0" w:color="auto"/>
        <w:bottom w:val="none" w:sz="0" w:space="0" w:color="auto"/>
        <w:right w:val="none" w:sz="0" w:space="0" w:color="auto"/>
      </w:divBdr>
    </w:div>
    <w:div w:id="914053825">
      <w:bodyDiv w:val="1"/>
      <w:marLeft w:val="0"/>
      <w:marRight w:val="0"/>
      <w:marTop w:val="0"/>
      <w:marBottom w:val="0"/>
      <w:divBdr>
        <w:top w:val="none" w:sz="0" w:space="0" w:color="auto"/>
        <w:left w:val="none" w:sz="0" w:space="0" w:color="auto"/>
        <w:bottom w:val="none" w:sz="0" w:space="0" w:color="auto"/>
        <w:right w:val="none" w:sz="0" w:space="0" w:color="auto"/>
      </w:divBdr>
    </w:div>
    <w:div w:id="935331801">
      <w:bodyDiv w:val="1"/>
      <w:marLeft w:val="0"/>
      <w:marRight w:val="0"/>
      <w:marTop w:val="0"/>
      <w:marBottom w:val="0"/>
      <w:divBdr>
        <w:top w:val="none" w:sz="0" w:space="0" w:color="auto"/>
        <w:left w:val="none" w:sz="0" w:space="0" w:color="auto"/>
        <w:bottom w:val="none" w:sz="0" w:space="0" w:color="auto"/>
        <w:right w:val="none" w:sz="0" w:space="0" w:color="auto"/>
      </w:divBdr>
    </w:div>
    <w:div w:id="957174927">
      <w:bodyDiv w:val="1"/>
      <w:marLeft w:val="0"/>
      <w:marRight w:val="0"/>
      <w:marTop w:val="0"/>
      <w:marBottom w:val="0"/>
      <w:divBdr>
        <w:top w:val="none" w:sz="0" w:space="0" w:color="auto"/>
        <w:left w:val="none" w:sz="0" w:space="0" w:color="auto"/>
        <w:bottom w:val="none" w:sz="0" w:space="0" w:color="auto"/>
        <w:right w:val="none" w:sz="0" w:space="0" w:color="auto"/>
      </w:divBdr>
    </w:div>
    <w:div w:id="1103068892">
      <w:bodyDiv w:val="1"/>
      <w:marLeft w:val="0"/>
      <w:marRight w:val="0"/>
      <w:marTop w:val="0"/>
      <w:marBottom w:val="0"/>
      <w:divBdr>
        <w:top w:val="none" w:sz="0" w:space="0" w:color="auto"/>
        <w:left w:val="none" w:sz="0" w:space="0" w:color="auto"/>
        <w:bottom w:val="none" w:sz="0" w:space="0" w:color="auto"/>
        <w:right w:val="none" w:sz="0" w:space="0" w:color="auto"/>
      </w:divBdr>
    </w:div>
    <w:div w:id="1248732207">
      <w:bodyDiv w:val="1"/>
      <w:marLeft w:val="0"/>
      <w:marRight w:val="0"/>
      <w:marTop w:val="0"/>
      <w:marBottom w:val="0"/>
      <w:divBdr>
        <w:top w:val="none" w:sz="0" w:space="0" w:color="auto"/>
        <w:left w:val="none" w:sz="0" w:space="0" w:color="auto"/>
        <w:bottom w:val="none" w:sz="0" w:space="0" w:color="auto"/>
        <w:right w:val="none" w:sz="0" w:space="0" w:color="auto"/>
      </w:divBdr>
    </w:div>
    <w:div w:id="1264609735">
      <w:bodyDiv w:val="1"/>
      <w:marLeft w:val="0"/>
      <w:marRight w:val="0"/>
      <w:marTop w:val="0"/>
      <w:marBottom w:val="0"/>
      <w:divBdr>
        <w:top w:val="none" w:sz="0" w:space="0" w:color="auto"/>
        <w:left w:val="none" w:sz="0" w:space="0" w:color="auto"/>
        <w:bottom w:val="none" w:sz="0" w:space="0" w:color="auto"/>
        <w:right w:val="none" w:sz="0" w:space="0" w:color="auto"/>
      </w:divBdr>
    </w:div>
    <w:div w:id="1275596586">
      <w:bodyDiv w:val="1"/>
      <w:marLeft w:val="0"/>
      <w:marRight w:val="0"/>
      <w:marTop w:val="0"/>
      <w:marBottom w:val="0"/>
      <w:divBdr>
        <w:top w:val="none" w:sz="0" w:space="0" w:color="auto"/>
        <w:left w:val="none" w:sz="0" w:space="0" w:color="auto"/>
        <w:bottom w:val="none" w:sz="0" w:space="0" w:color="auto"/>
        <w:right w:val="none" w:sz="0" w:space="0" w:color="auto"/>
      </w:divBdr>
    </w:div>
    <w:div w:id="1336228846">
      <w:bodyDiv w:val="1"/>
      <w:marLeft w:val="0"/>
      <w:marRight w:val="0"/>
      <w:marTop w:val="0"/>
      <w:marBottom w:val="0"/>
      <w:divBdr>
        <w:top w:val="none" w:sz="0" w:space="0" w:color="auto"/>
        <w:left w:val="none" w:sz="0" w:space="0" w:color="auto"/>
        <w:bottom w:val="none" w:sz="0" w:space="0" w:color="auto"/>
        <w:right w:val="none" w:sz="0" w:space="0" w:color="auto"/>
      </w:divBdr>
    </w:div>
    <w:div w:id="1353187378">
      <w:bodyDiv w:val="1"/>
      <w:marLeft w:val="0"/>
      <w:marRight w:val="0"/>
      <w:marTop w:val="0"/>
      <w:marBottom w:val="0"/>
      <w:divBdr>
        <w:top w:val="none" w:sz="0" w:space="0" w:color="auto"/>
        <w:left w:val="none" w:sz="0" w:space="0" w:color="auto"/>
        <w:bottom w:val="none" w:sz="0" w:space="0" w:color="auto"/>
        <w:right w:val="none" w:sz="0" w:space="0" w:color="auto"/>
      </w:divBdr>
    </w:div>
    <w:div w:id="1532062062">
      <w:bodyDiv w:val="1"/>
      <w:marLeft w:val="0"/>
      <w:marRight w:val="0"/>
      <w:marTop w:val="0"/>
      <w:marBottom w:val="0"/>
      <w:divBdr>
        <w:top w:val="none" w:sz="0" w:space="0" w:color="auto"/>
        <w:left w:val="none" w:sz="0" w:space="0" w:color="auto"/>
        <w:bottom w:val="none" w:sz="0" w:space="0" w:color="auto"/>
        <w:right w:val="none" w:sz="0" w:space="0" w:color="auto"/>
      </w:divBdr>
    </w:div>
    <w:div w:id="1547328804">
      <w:bodyDiv w:val="1"/>
      <w:marLeft w:val="0"/>
      <w:marRight w:val="0"/>
      <w:marTop w:val="0"/>
      <w:marBottom w:val="0"/>
      <w:divBdr>
        <w:top w:val="none" w:sz="0" w:space="0" w:color="auto"/>
        <w:left w:val="none" w:sz="0" w:space="0" w:color="auto"/>
        <w:bottom w:val="none" w:sz="0" w:space="0" w:color="auto"/>
        <w:right w:val="none" w:sz="0" w:space="0" w:color="auto"/>
      </w:divBdr>
    </w:div>
    <w:div w:id="1595093006">
      <w:bodyDiv w:val="1"/>
      <w:marLeft w:val="0"/>
      <w:marRight w:val="0"/>
      <w:marTop w:val="0"/>
      <w:marBottom w:val="0"/>
      <w:divBdr>
        <w:top w:val="none" w:sz="0" w:space="0" w:color="auto"/>
        <w:left w:val="none" w:sz="0" w:space="0" w:color="auto"/>
        <w:bottom w:val="none" w:sz="0" w:space="0" w:color="auto"/>
        <w:right w:val="none" w:sz="0" w:space="0" w:color="auto"/>
      </w:divBdr>
    </w:div>
    <w:div w:id="1686322942">
      <w:bodyDiv w:val="1"/>
      <w:marLeft w:val="0"/>
      <w:marRight w:val="0"/>
      <w:marTop w:val="0"/>
      <w:marBottom w:val="0"/>
      <w:divBdr>
        <w:top w:val="none" w:sz="0" w:space="0" w:color="auto"/>
        <w:left w:val="none" w:sz="0" w:space="0" w:color="auto"/>
        <w:bottom w:val="none" w:sz="0" w:space="0" w:color="auto"/>
        <w:right w:val="none" w:sz="0" w:space="0" w:color="auto"/>
      </w:divBdr>
    </w:div>
    <w:div w:id="1701274883">
      <w:bodyDiv w:val="1"/>
      <w:marLeft w:val="0"/>
      <w:marRight w:val="0"/>
      <w:marTop w:val="0"/>
      <w:marBottom w:val="0"/>
      <w:divBdr>
        <w:top w:val="none" w:sz="0" w:space="0" w:color="auto"/>
        <w:left w:val="none" w:sz="0" w:space="0" w:color="auto"/>
        <w:bottom w:val="none" w:sz="0" w:space="0" w:color="auto"/>
        <w:right w:val="none" w:sz="0" w:space="0" w:color="auto"/>
      </w:divBdr>
    </w:div>
    <w:div w:id="1846823263">
      <w:bodyDiv w:val="1"/>
      <w:marLeft w:val="0"/>
      <w:marRight w:val="0"/>
      <w:marTop w:val="0"/>
      <w:marBottom w:val="0"/>
      <w:divBdr>
        <w:top w:val="none" w:sz="0" w:space="0" w:color="auto"/>
        <w:left w:val="none" w:sz="0" w:space="0" w:color="auto"/>
        <w:bottom w:val="none" w:sz="0" w:space="0" w:color="auto"/>
        <w:right w:val="none" w:sz="0" w:space="0" w:color="auto"/>
      </w:divBdr>
    </w:div>
    <w:div w:id="1869030095">
      <w:bodyDiv w:val="1"/>
      <w:marLeft w:val="0"/>
      <w:marRight w:val="0"/>
      <w:marTop w:val="0"/>
      <w:marBottom w:val="0"/>
      <w:divBdr>
        <w:top w:val="none" w:sz="0" w:space="0" w:color="auto"/>
        <w:left w:val="none" w:sz="0" w:space="0" w:color="auto"/>
        <w:bottom w:val="none" w:sz="0" w:space="0" w:color="auto"/>
        <w:right w:val="none" w:sz="0" w:space="0" w:color="auto"/>
      </w:divBdr>
    </w:div>
    <w:div w:id="1873372453">
      <w:bodyDiv w:val="1"/>
      <w:marLeft w:val="0"/>
      <w:marRight w:val="0"/>
      <w:marTop w:val="0"/>
      <w:marBottom w:val="0"/>
      <w:divBdr>
        <w:top w:val="none" w:sz="0" w:space="0" w:color="auto"/>
        <w:left w:val="none" w:sz="0" w:space="0" w:color="auto"/>
        <w:bottom w:val="none" w:sz="0" w:space="0" w:color="auto"/>
        <w:right w:val="none" w:sz="0" w:space="0" w:color="auto"/>
      </w:divBdr>
    </w:div>
    <w:div w:id="1881547927">
      <w:bodyDiv w:val="1"/>
      <w:marLeft w:val="0"/>
      <w:marRight w:val="0"/>
      <w:marTop w:val="0"/>
      <w:marBottom w:val="0"/>
      <w:divBdr>
        <w:top w:val="none" w:sz="0" w:space="0" w:color="auto"/>
        <w:left w:val="none" w:sz="0" w:space="0" w:color="auto"/>
        <w:bottom w:val="none" w:sz="0" w:space="0" w:color="auto"/>
        <w:right w:val="none" w:sz="0" w:space="0" w:color="auto"/>
      </w:divBdr>
    </w:div>
    <w:div w:id="1886867948">
      <w:bodyDiv w:val="1"/>
      <w:marLeft w:val="0"/>
      <w:marRight w:val="0"/>
      <w:marTop w:val="0"/>
      <w:marBottom w:val="0"/>
      <w:divBdr>
        <w:top w:val="none" w:sz="0" w:space="0" w:color="auto"/>
        <w:left w:val="none" w:sz="0" w:space="0" w:color="auto"/>
        <w:bottom w:val="none" w:sz="0" w:space="0" w:color="auto"/>
        <w:right w:val="none" w:sz="0" w:space="0" w:color="auto"/>
      </w:divBdr>
    </w:div>
    <w:div w:id="1970546464">
      <w:bodyDiv w:val="1"/>
      <w:marLeft w:val="0"/>
      <w:marRight w:val="0"/>
      <w:marTop w:val="0"/>
      <w:marBottom w:val="0"/>
      <w:divBdr>
        <w:top w:val="none" w:sz="0" w:space="0" w:color="auto"/>
        <w:left w:val="none" w:sz="0" w:space="0" w:color="auto"/>
        <w:bottom w:val="none" w:sz="0" w:space="0" w:color="auto"/>
        <w:right w:val="none" w:sz="0" w:space="0" w:color="auto"/>
      </w:divBdr>
    </w:div>
    <w:div w:id="1989701025">
      <w:bodyDiv w:val="1"/>
      <w:marLeft w:val="0"/>
      <w:marRight w:val="0"/>
      <w:marTop w:val="0"/>
      <w:marBottom w:val="0"/>
      <w:divBdr>
        <w:top w:val="none" w:sz="0" w:space="0" w:color="auto"/>
        <w:left w:val="none" w:sz="0" w:space="0" w:color="auto"/>
        <w:bottom w:val="none" w:sz="0" w:space="0" w:color="auto"/>
        <w:right w:val="none" w:sz="0" w:space="0" w:color="auto"/>
      </w:divBdr>
    </w:div>
    <w:div w:id="21253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BA6D1-9781-4873-9F6D-11F9755F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18</Pages>
  <Words>4786</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psb</Company>
  <LinksUpToDate>false</LinksUpToDate>
  <CharactersWithSpaces>32008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dc:creator>
  <cp:keywords/>
  <dc:description/>
  <cp:lastModifiedBy>acer</cp:lastModifiedBy>
  <cp:revision>6</cp:revision>
  <cp:lastPrinted>2020-09-19T05:39:00Z</cp:lastPrinted>
  <dcterms:created xsi:type="dcterms:W3CDTF">2020-09-10T10:44:00Z</dcterms:created>
  <dcterms:modified xsi:type="dcterms:W3CDTF">2020-09-19T05:41:00Z</dcterms:modified>
</cp:coreProperties>
</file>